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gliatabella"/>
        <w:tblpPr w:leftFromText="141" w:rightFromText="141" w:horzAnchor="margin" w:tblpY="840"/>
        <w:tblW w:w="14033" w:type="dxa"/>
        <w:tblLook w:val="04A0" w:firstRow="1" w:lastRow="0" w:firstColumn="1" w:lastColumn="0" w:noHBand="0" w:noVBand="1"/>
      </w:tblPr>
      <w:tblGrid>
        <w:gridCol w:w="6237"/>
        <w:gridCol w:w="3828"/>
        <w:gridCol w:w="2268"/>
        <w:gridCol w:w="1700"/>
      </w:tblGrid>
      <w:tr w:rsidR="00674FE5" w:rsidTr="00674FE5">
        <w:tc>
          <w:tcPr>
            <w:tcW w:w="12333" w:type="dxa"/>
            <w:gridSpan w:val="3"/>
            <w:tcBorders>
              <w:top w:val="nil"/>
              <w:left w:val="nil"/>
              <w:bottom w:val="single" w:sz="4" w:space="0" w:color="auto"/>
              <w:right w:val="nil"/>
            </w:tcBorders>
          </w:tcPr>
          <w:p w:rsidR="00674FE5" w:rsidRPr="008F3715" w:rsidRDefault="00674FE5" w:rsidP="00574EA9">
            <w:pPr>
              <w:jc w:val="center"/>
              <w:rPr>
                <w:b/>
              </w:rPr>
            </w:pPr>
            <w:bookmarkStart w:id="0" w:name="_GoBack"/>
            <w:bookmarkEnd w:id="0"/>
            <w:r w:rsidRPr="008F3715">
              <w:rPr>
                <w:b/>
              </w:rPr>
              <w:t>PNR 2016 - TAVOLA SINOTTICA RACCOMANDAZIONI UE ALL’ITALIA (CSR</w:t>
            </w:r>
            <w:r w:rsidR="00413B03">
              <w:rPr>
                <w:b/>
              </w:rPr>
              <w:t xml:space="preserve"> 2015</w:t>
            </w:r>
            <w:r w:rsidRPr="008F3715">
              <w:rPr>
                <w:b/>
              </w:rPr>
              <w:t>)</w:t>
            </w:r>
          </w:p>
          <w:p w:rsidR="00674FE5" w:rsidRPr="008F3715" w:rsidRDefault="00674FE5" w:rsidP="00B77447">
            <w:pPr>
              <w:pStyle w:val="Default"/>
              <w:rPr>
                <w:rFonts w:asciiTheme="minorHAnsi" w:hAnsiTheme="minorHAnsi"/>
                <w:sz w:val="22"/>
                <w:szCs w:val="22"/>
              </w:rPr>
            </w:pPr>
          </w:p>
          <w:p w:rsidR="00674FE5" w:rsidRPr="008F3715" w:rsidRDefault="00674FE5" w:rsidP="00B77447">
            <w:pPr>
              <w:jc w:val="center"/>
              <w:rPr>
                <w:b/>
              </w:rPr>
            </w:pPr>
            <w:r w:rsidRPr="008F3715">
              <w:t xml:space="preserve"> </w:t>
            </w:r>
            <w:r w:rsidR="001407D5">
              <w:t xml:space="preserve">Raccomandazioni del Consiglio del 14 luglio 2015 sul programma nazionale di riforma 2015 dell’Italia e che formula un parere del Consiglio sul programma di stabilità 2015 dell’Italia – Gazzetta </w:t>
            </w:r>
            <w:r w:rsidR="00573C95">
              <w:t>ufficiale europea C 272</w:t>
            </w:r>
            <w:r w:rsidR="001407D5">
              <w:t xml:space="preserve"> del 18 agosto 2015</w:t>
            </w:r>
            <w:r w:rsidR="001005FF">
              <w:t xml:space="preserve"> </w:t>
            </w:r>
          </w:p>
          <w:p w:rsidR="00674FE5" w:rsidRPr="008F3715" w:rsidRDefault="00674FE5" w:rsidP="00C523C2">
            <w:pPr>
              <w:rPr>
                <w:b/>
              </w:rPr>
            </w:pPr>
          </w:p>
          <w:p w:rsidR="00674FE5" w:rsidRPr="008F3715" w:rsidRDefault="00674FE5" w:rsidP="00724AF0">
            <w:pPr>
              <w:rPr>
                <w:b/>
              </w:rPr>
            </w:pPr>
          </w:p>
        </w:tc>
        <w:tc>
          <w:tcPr>
            <w:tcW w:w="1700" w:type="dxa"/>
            <w:tcBorders>
              <w:top w:val="nil"/>
              <w:left w:val="nil"/>
              <w:bottom w:val="single" w:sz="4" w:space="0" w:color="auto"/>
              <w:right w:val="nil"/>
            </w:tcBorders>
          </w:tcPr>
          <w:p w:rsidR="00674FE5" w:rsidRPr="008F3715" w:rsidRDefault="00674FE5" w:rsidP="00574EA9">
            <w:pPr>
              <w:jc w:val="center"/>
              <w:rPr>
                <w:b/>
              </w:rPr>
            </w:pPr>
          </w:p>
        </w:tc>
      </w:tr>
      <w:tr w:rsidR="00674FE5" w:rsidTr="00674FE5">
        <w:tc>
          <w:tcPr>
            <w:tcW w:w="6237" w:type="dxa"/>
            <w:tcBorders>
              <w:top w:val="single" w:sz="4" w:space="0" w:color="auto"/>
            </w:tcBorders>
          </w:tcPr>
          <w:p w:rsidR="00674FE5" w:rsidRPr="008F3715" w:rsidRDefault="00674FE5" w:rsidP="00B61D5A">
            <w:pPr>
              <w:jc w:val="center"/>
              <w:rPr>
                <w:b/>
              </w:rPr>
            </w:pPr>
            <w:r w:rsidRPr="008F3715">
              <w:rPr>
                <w:b/>
              </w:rPr>
              <w:t>Consideranda</w:t>
            </w:r>
          </w:p>
        </w:tc>
        <w:tc>
          <w:tcPr>
            <w:tcW w:w="3828" w:type="dxa"/>
            <w:tcBorders>
              <w:top w:val="single" w:sz="4" w:space="0" w:color="auto"/>
            </w:tcBorders>
          </w:tcPr>
          <w:p w:rsidR="00674FE5" w:rsidRPr="008F3715" w:rsidRDefault="00674FE5" w:rsidP="00B61D5A">
            <w:pPr>
              <w:jc w:val="center"/>
              <w:rPr>
                <w:b/>
              </w:rPr>
            </w:pPr>
            <w:r w:rsidRPr="008F3715">
              <w:rPr>
                <w:b/>
              </w:rPr>
              <w:t>CSR - raccomandazione</w:t>
            </w:r>
          </w:p>
        </w:tc>
        <w:tc>
          <w:tcPr>
            <w:tcW w:w="2268" w:type="dxa"/>
            <w:tcBorders>
              <w:top w:val="single" w:sz="4" w:space="0" w:color="auto"/>
            </w:tcBorders>
          </w:tcPr>
          <w:p w:rsidR="00674FE5" w:rsidRPr="008F3715" w:rsidRDefault="00674FE5" w:rsidP="00B61D5A">
            <w:pPr>
              <w:jc w:val="center"/>
              <w:rPr>
                <w:b/>
              </w:rPr>
            </w:pPr>
            <w:r w:rsidRPr="008F3715">
              <w:rPr>
                <w:b/>
              </w:rPr>
              <w:t>Materie</w:t>
            </w:r>
          </w:p>
          <w:p w:rsidR="00674FE5" w:rsidRPr="008F3715" w:rsidRDefault="00674FE5" w:rsidP="00B61D5A">
            <w:pPr>
              <w:jc w:val="center"/>
              <w:rPr>
                <w:b/>
              </w:rPr>
            </w:pPr>
          </w:p>
        </w:tc>
        <w:tc>
          <w:tcPr>
            <w:tcW w:w="1700" w:type="dxa"/>
            <w:tcBorders>
              <w:top w:val="single" w:sz="4" w:space="0" w:color="auto"/>
            </w:tcBorders>
          </w:tcPr>
          <w:p w:rsidR="00674FE5" w:rsidRPr="008F3715" w:rsidRDefault="00674FE5" w:rsidP="00B61D5A">
            <w:pPr>
              <w:jc w:val="center"/>
              <w:rPr>
                <w:b/>
              </w:rPr>
            </w:pPr>
            <w:r>
              <w:rPr>
                <w:b/>
              </w:rPr>
              <w:t xml:space="preserve">Scadenze </w:t>
            </w:r>
          </w:p>
        </w:tc>
      </w:tr>
      <w:tr w:rsidR="00674FE5" w:rsidTr="00674FE5">
        <w:tc>
          <w:tcPr>
            <w:tcW w:w="6237" w:type="dxa"/>
          </w:tcPr>
          <w:p w:rsidR="00674FE5" w:rsidRPr="008F3715" w:rsidRDefault="00674FE5" w:rsidP="00521CA9">
            <w:pPr>
              <w:pStyle w:val="Default"/>
              <w:jc w:val="both"/>
              <w:rPr>
                <w:rFonts w:asciiTheme="minorHAnsi" w:hAnsiTheme="minorHAnsi"/>
                <w:sz w:val="22"/>
                <w:szCs w:val="22"/>
              </w:rPr>
            </w:pPr>
            <w:r w:rsidRPr="008F3715">
              <w:rPr>
                <w:rFonts w:asciiTheme="minorHAnsi" w:hAnsiTheme="minorHAnsi"/>
                <w:sz w:val="22"/>
                <w:szCs w:val="22"/>
              </w:rPr>
              <w:t xml:space="preserve">(13) Nel 2015 l'Italia dovrebbe migliorare il saldo strutturale dello 0,25% del PIL. Sulla base delle previsioni di primavera 2015 della Commissione, il previsto </w:t>
            </w:r>
            <w:r w:rsidRPr="00112394">
              <w:rPr>
                <w:rFonts w:asciiTheme="minorHAnsi" w:hAnsiTheme="minorHAnsi"/>
                <w:b/>
                <w:sz w:val="22"/>
                <w:szCs w:val="22"/>
              </w:rPr>
              <w:t>aggiustamento strutturale verso l'obiettivo a medio termine pari allo 0,3% del PIL</w:t>
            </w:r>
            <w:r w:rsidRPr="008F3715">
              <w:rPr>
                <w:rFonts w:asciiTheme="minorHAnsi" w:hAnsiTheme="minorHAnsi"/>
                <w:sz w:val="22"/>
                <w:szCs w:val="22"/>
              </w:rPr>
              <w:t xml:space="preserve"> </w:t>
            </w:r>
            <w:r w:rsidRPr="008F3715">
              <w:rPr>
                <w:rFonts w:asciiTheme="minorHAnsi" w:hAnsiTheme="minorHAnsi"/>
                <w:color w:val="auto"/>
                <w:sz w:val="22"/>
                <w:szCs w:val="22"/>
              </w:rPr>
              <w:t xml:space="preserve">nel 2015 è in linea con gli obblighi dell'Italia nell'ambito del braccio preventivo del patto di stabilità e crescita. Nel 2016 il paese dovrebbe migliorare il saldo strutturale almeno dello 0,1% del PIL, tenuto conto dello scostamento consentito in base alla clausola relativa alle riforme strutturali. Tuttavia, nell'ipotesi di politiche invariate, le previsioni della Commissione evidenziano una riduzione del PIL dello 0,2% che comporta il rischio di una qualche deviazione. Saranno pertanto necessarie ulteriori misure. In base alla valutazione del programma di stabilità e tenuto conto delle previsioni di primavera 2015 della Commissione, il Consiglio è del parere che vi sia il rischio che l'Italia non ottemperi alle disposizioni del patto di stabilità e crescita. </w:t>
            </w:r>
          </w:p>
          <w:p w:rsidR="00674FE5" w:rsidRPr="008F3715" w:rsidRDefault="00674FE5" w:rsidP="00521CA9">
            <w:pPr>
              <w:pStyle w:val="Default"/>
              <w:jc w:val="both"/>
              <w:rPr>
                <w:rFonts w:asciiTheme="minorHAnsi" w:hAnsiTheme="minorHAnsi"/>
                <w:color w:val="auto"/>
                <w:sz w:val="22"/>
                <w:szCs w:val="22"/>
              </w:rPr>
            </w:pPr>
            <w:r w:rsidRPr="008F3715">
              <w:rPr>
                <w:rFonts w:asciiTheme="minorHAnsi" w:hAnsiTheme="minorHAnsi"/>
                <w:color w:val="auto"/>
                <w:sz w:val="22"/>
                <w:szCs w:val="22"/>
              </w:rPr>
              <w:t xml:space="preserve">(14) Nonostante il previsto contributo allo sforzo di riduzione del debito, che è cruciale per l'Italia, l'attuazione dell'ambizioso </w:t>
            </w:r>
            <w:r w:rsidRPr="00112394">
              <w:rPr>
                <w:rFonts w:asciiTheme="minorHAnsi" w:hAnsiTheme="minorHAnsi"/>
                <w:b/>
                <w:color w:val="auto"/>
                <w:sz w:val="22"/>
                <w:szCs w:val="22"/>
              </w:rPr>
              <w:t>programma di privatizzazioni</w:t>
            </w:r>
            <w:r w:rsidRPr="008F3715">
              <w:rPr>
                <w:rFonts w:asciiTheme="minorHAnsi" w:hAnsiTheme="minorHAnsi"/>
                <w:color w:val="auto"/>
                <w:sz w:val="22"/>
                <w:szCs w:val="22"/>
              </w:rPr>
              <w:t xml:space="preserve"> presentato dalle autorità italiane ha subito un certo ritardo nel 2014; di conseguenza, i proventi delle privatizzazioni nel 2014 sono stati pari allo 0,2% del PIL, al di sotto dell'obiettivo dello 0,7% all'anno. </w:t>
            </w:r>
          </w:p>
          <w:p w:rsidR="00674FE5" w:rsidRPr="008F3715" w:rsidRDefault="00674FE5" w:rsidP="0017258A">
            <w:pPr>
              <w:pStyle w:val="Default"/>
              <w:jc w:val="both"/>
              <w:rPr>
                <w:rFonts w:asciiTheme="minorHAnsi" w:hAnsiTheme="minorHAnsi"/>
                <w:sz w:val="22"/>
                <w:szCs w:val="22"/>
              </w:rPr>
            </w:pPr>
            <w:r w:rsidRPr="008F3715">
              <w:rPr>
                <w:rFonts w:asciiTheme="minorHAnsi" w:hAnsiTheme="minorHAnsi"/>
                <w:sz w:val="22"/>
                <w:szCs w:val="22"/>
              </w:rPr>
              <w:t xml:space="preserve">(15) Nel corso dell'ultimo anno l'Italia ha compiuto passi in avanti significativi per </w:t>
            </w:r>
            <w:r w:rsidRPr="00112394">
              <w:rPr>
                <w:rFonts w:asciiTheme="minorHAnsi" w:hAnsiTheme="minorHAnsi"/>
                <w:b/>
                <w:sz w:val="22"/>
                <w:szCs w:val="22"/>
              </w:rPr>
              <w:t>alleggerire l'onere fiscale sul lavoro</w:t>
            </w:r>
            <w:r w:rsidRPr="008F3715">
              <w:rPr>
                <w:rFonts w:asciiTheme="minorHAnsi" w:hAnsiTheme="minorHAnsi"/>
                <w:sz w:val="22"/>
                <w:szCs w:val="22"/>
              </w:rPr>
              <w:t xml:space="preserve">, che resta però alto. Sono ancora eccessivamente elevati il numero e la portata </w:t>
            </w:r>
            <w:r w:rsidRPr="008F3715">
              <w:rPr>
                <w:rFonts w:asciiTheme="minorHAnsi" w:hAnsiTheme="minorHAnsi"/>
                <w:sz w:val="22"/>
                <w:szCs w:val="22"/>
              </w:rPr>
              <w:lastRenderedPageBreak/>
              <w:t xml:space="preserve">delle agevolazioni fiscali, in particolare le aliquote ridotte dell'IVA. Quanto alla tassazione dei beni immobili, ci sono stati soltanto lenti progressi della </w:t>
            </w:r>
            <w:r w:rsidRPr="00112394">
              <w:rPr>
                <w:rFonts w:asciiTheme="minorHAnsi" w:hAnsiTheme="minorHAnsi"/>
                <w:b/>
                <w:sz w:val="22"/>
                <w:szCs w:val="22"/>
              </w:rPr>
              <w:t>riforma del catasto</w:t>
            </w:r>
            <w:r w:rsidRPr="008F3715">
              <w:rPr>
                <w:rFonts w:asciiTheme="minorHAnsi" w:hAnsiTheme="minorHAnsi"/>
                <w:sz w:val="22"/>
                <w:szCs w:val="22"/>
              </w:rPr>
              <w:t xml:space="preserve">, nell'ambito della quale si rende particolarmente necessaria una revisione dei valori catastali obsoleti. Inoltre, rimangono lettera morta </w:t>
            </w:r>
            <w:r w:rsidRPr="00FA5C74">
              <w:rPr>
                <w:rFonts w:asciiTheme="minorHAnsi" w:hAnsiTheme="minorHAnsi"/>
                <w:b/>
                <w:sz w:val="22"/>
                <w:szCs w:val="22"/>
              </w:rPr>
              <w:t>la revisione dell'imposizione ambientale e l'eliminazione delle sovvenzioni dannose per l'ambiente</w:t>
            </w:r>
            <w:r w:rsidRPr="008F3715">
              <w:rPr>
                <w:rFonts w:asciiTheme="minorHAnsi" w:hAnsiTheme="minorHAnsi"/>
                <w:sz w:val="22"/>
                <w:szCs w:val="22"/>
              </w:rPr>
              <w:t xml:space="preserve">. L'Italia ha istituito un comitato per la fiscalità ambientale. Questi diversi aspetti sono contemplati dalla </w:t>
            </w:r>
            <w:r w:rsidRPr="00FA5C74">
              <w:rPr>
                <w:rFonts w:asciiTheme="minorHAnsi" w:hAnsiTheme="minorHAnsi"/>
                <w:b/>
                <w:sz w:val="22"/>
                <w:szCs w:val="22"/>
              </w:rPr>
              <w:t>legge delega di riforma fiscale</w:t>
            </w:r>
            <w:r w:rsidRPr="008F3715">
              <w:rPr>
                <w:rFonts w:asciiTheme="minorHAnsi" w:hAnsiTheme="minorHAnsi"/>
                <w:sz w:val="22"/>
                <w:szCs w:val="22"/>
              </w:rPr>
              <w:t xml:space="preserve">, la cui attuazione è stata tuttavia rimandata per l'assenza di decreti legislativi attuativi. Nonostante alcuni interventi in questo settore, in Italia l'efficienza del sistema fiscale è </w:t>
            </w:r>
            <w:r w:rsidRPr="00FA5C74">
              <w:rPr>
                <w:rFonts w:asciiTheme="minorHAnsi" w:hAnsiTheme="minorHAnsi"/>
                <w:b/>
                <w:sz w:val="22"/>
                <w:szCs w:val="22"/>
              </w:rPr>
              <w:t>anche compromessa da livelli ancora bassi e costosi di adempimento degli obblighi fiscali e dall'elevata evasione fiscale</w:t>
            </w:r>
            <w:r w:rsidRPr="008F3715">
              <w:rPr>
                <w:rFonts w:asciiTheme="minorHAnsi" w:hAnsiTheme="minorHAnsi"/>
                <w:sz w:val="22"/>
                <w:szCs w:val="22"/>
              </w:rPr>
              <w:t xml:space="preserve"> (secondo le stime del governo, pari a 91 miliardi di EUR all'anno o al 5,6% del PIL). Il governo ha presentato provvedimenti intesi a garantire l'accuratezza delle dichiarazioni dei redditi, dei quali è necessario garantire ora la piena operatività. </w:t>
            </w:r>
          </w:p>
        </w:tc>
        <w:tc>
          <w:tcPr>
            <w:tcW w:w="3828" w:type="dxa"/>
          </w:tcPr>
          <w:p w:rsidR="00674FE5" w:rsidRDefault="00674FE5" w:rsidP="00DB1FBB">
            <w:pPr>
              <w:pStyle w:val="Default"/>
              <w:jc w:val="both"/>
              <w:rPr>
                <w:rFonts w:asciiTheme="minorHAnsi" w:hAnsiTheme="minorHAnsi"/>
                <w:color w:val="auto"/>
                <w:sz w:val="22"/>
                <w:szCs w:val="22"/>
              </w:rPr>
            </w:pPr>
            <w:r w:rsidRPr="00DB1FBB">
              <w:rPr>
                <w:rFonts w:asciiTheme="minorHAnsi" w:hAnsiTheme="minorHAnsi"/>
                <w:b/>
                <w:sz w:val="28"/>
                <w:szCs w:val="28"/>
              </w:rPr>
              <w:lastRenderedPageBreak/>
              <w:t>1</w:t>
            </w:r>
            <w:r w:rsidR="00DB1FBB" w:rsidRPr="00DB1FBB">
              <w:rPr>
                <w:rFonts w:asciiTheme="minorHAnsi" w:hAnsiTheme="minorHAnsi"/>
                <w:b/>
                <w:sz w:val="28"/>
                <w:szCs w:val="28"/>
              </w:rPr>
              <w:t>.</w:t>
            </w:r>
            <w:r w:rsidRPr="008F3715">
              <w:rPr>
                <w:rFonts w:asciiTheme="minorHAnsi" w:hAnsiTheme="minorHAnsi"/>
                <w:sz w:val="22"/>
                <w:szCs w:val="22"/>
              </w:rPr>
              <w:t xml:space="preserve"> conseguire un </w:t>
            </w:r>
            <w:r w:rsidRPr="004D56F6">
              <w:rPr>
                <w:rFonts w:asciiTheme="minorHAnsi" w:hAnsiTheme="minorHAnsi"/>
                <w:b/>
                <w:sz w:val="22"/>
                <w:szCs w:val="22"/>
              </w:rPr>
              <w:t>aggiustamento di bilancio</w:t>
            </w:r>
            <w:r w:rsidRPr="008F3715">
              <w:rPr>
                <w:rFonts w:asciiTheme="minorHAnsi" w:hAnsiTheme="minorHAnsi"/>
                <w:sz w:val="22"/>
                <w:szCs w:val="22"/>
              </w:rPr>
              <w:t xml:space="preserve"> verso l'obiettivo a medio termine pari ad almeno lo 0,25% del PIL nel 2015 e allo 0,1% del PIL nel 2016, adottando le necessarie misure strutturali sia nel 2015 che nel 2016, </w:t>
            </w:r>
            <w:r w:rsidRPr="004D56F6">
              <w:rPr>
                <w:rFonts w:asciiTheme="minorHAnsi" w:hAnsiTheme="minorHAnsi"/>
                <w:sz w:val="22"/>
                <w:szCs w:val="22"/>
              </w:rPr>
              <w:t>tenuto conto dello scostamento consentito per l'attuazione di importanti riforme strutturali</w:t>
            </w:r>
            <w:r w:rsidRPr="004D56F6">
              <w:rPr>
                <w:rFonts w:asciiTheme="minorHAnsi" w:hAnsiTheme="minorHAnsi"/>
                <w:color w:val="auto"/>
                <w:sz w:val="22"/>
                <w:szCs w:val="22"/>
              </w:rPr>
              <w:t xml:space="preserve">; </w:t>
            </w:r>
            <w:r w:rsidR="00FD49FA" w:rsidRPr="004D56F6">
              <w:rPr>
                <w:color w:val="auto"/>
                <w:sz w:val="23"/>
                <w:szCs w:val="23"/>
              </w:rPr>
              <w:t xml:space="preserve"> </w:t>
            </w:r>
            <w:r w:rsidR="004D56F6" w:rsidRPr="004D56F6">
              <w:rPr>
                <w:rFonts w:asciiTheme="minorHAnsi" w:hAnsiTheme="minorHAnsi"/>
                <w:color w:val="auto"/>
                <w:sz w:val="22"/>
                <w:szCs w:val="22"/>
              </w:rPr>
              <w:t>a</w:t>
            </w:r>
            <w:r w:rsidR="00FD49FA" w:rsidRPr="004D56F6">
              <w:rPr>
                <w:rFonts w:asciiTheme="minorHAnsi" w:hAnsiTheme="minorHAnsi"/>
                <w:color w:val="auto"/>
                <w:sz w:val="22"/>
                <w:szCs w:val="22"/>
              </w:rPr>
              <w:t>ssicurar</w:t>
            </w:r>
            <w:r w:rsidR="004D56F6" w:rsidRPr="004D56F6">
              <w:rPr>
                <w:rFonts w:asciiTheme="minorHAnsi" w:hAnsiTheme="minorHAnsi"/>
                <w:color w:val="auto"/>
                <w:sz w:val="22"/>
                <w:szCs w:val="22"/>
              </w:rPr>
              <w:t xml:space="preserve">e </w:t>
            </w:r>
            <w:r w:rsidR="00FD49FA" w:rsidRPr="004D56F6">
              <w:rPr>
                <w:rFonts w:asciiTheme="minorHAnsi" w:hAnsiTheme="minorHAnsi"/>
                <w:color w:val="auto"/>
                <w:sz w:val="22"/>
                <w:szCs w:val="22"/>
              </w:rPr>
              <w:t xml:space="preserve">che la </w:t>
            </w:r>
            <w:r w:rsidR="004D56F6" w:rsidRPr="007654BF">
              <w:rPr>
                <w:rFonts w:asciiTheme="minorHAnsi" w:hAnsiTheme="minorHAnsi"/>
                <w:b/>
                <w:color w:val="auto"/>
                <w:sz w:val="22"/>
                <w:szCs w:val="22"/>
              </w:rPr>
              <w:t xml:space="preserve">revisione della spesa costituisca parte </w:t>
            </w:r>
            <w:r w:rsidR="00FD49FA" w:rsidRPr="007654BF">
              <w:rPr>
                <w:rFonts w:asciiTheme="minorHAnsi" w:hAnsiTheme="minorHAnsi"/>
                <w:b/>
                <w:color w:val="auto"/>
                <w:sz w:val="22"/>
                <w:szCs w:val="22"/>
              </w:rPr>
              <w:t>integrante del processo di bilancio</w:t>
            </w:r>
            <w:r w:rsidR="00FD49FA" w:rsidRPr="004D56F6">
              <w:rPr>
                <w:rFonts w:asciiTheme="minorHAnsi" w:hAnsiTheme="minorHAnsi"/>
                <w:color w:val="auto"/>
                <w:sz w:val="22"/>
                <w:szCs w:val="22"/>
              </w:rPr>
              <w:t>;</w:t>
            </w:r>
            <w:r w:rsidR="00FD49FA" w:rsidRPr="004D56F6">
              <w:rPr>
                <w:color w:val="auto"/>
                <w:sz w:val="23"/>
                <w:szCs w:val="23"/>
              </w:rPr>
              <w:t xml:space="preserve"> </w:t>
            </w:r>
            <w:r w:rsidRPr="004D56F6">
              <w:rPr>
                <w:rFonts w:asciiTheme="minorHAnsi" w:hAnsiTheme="minorHAnsi"/>
                <w:sz w:val="22"/>
                <w:szCs w:val="22"/>
              </w:rPr>
              <w:t>attuare in modo rapido e accurato</w:t>
            </w:r>
            <w:r w:rsidRPr="008F3715">
              <w:rPr>
                <w:rFonts w:asciiTheme="minorHAnsi" w:hAnsiTheme="minorHAnsi"/>
                <w:sz w:val="22"/>
                <w:szCs w:val="22"/>
              </w:rPr>
              <w:t xml:space="preserve"> il </w:t>
            </w:r>
            <w:r w:rsidRPr="007654BF">
              <w:rPr>
                <w:rFonts w:asciiTheme="minorHAnsi" w:hAnsiTheme="minorHAnsi"/>
                <w:b/>
                <w:sz w:val="22"/>
                <w:szCs w:val="22"/>
              </w:rPr>
              <w:t>programma di privatizzazioni</w:t>
            </w:r>
            <w:r w:rsidRPr="008F3715">
              <w:rPr>
                <w:rFonts w:asciiTheme="minorHAnsi" w:hAnsiTheme="minorHAnsi"/>
                <w:sz w:val="22"/>
                <w:szCs w:val="22"/>
              </w:rPr>
              <w:t xml:space="preserve"> e ricorrere alle entrate straordinarie per compiere ulteriori progressi al fine di assicurare un percorso adeguato di riduzione del rapporto debito pubblico/PIL; attuare la </w:t>
            </w:r>
            <w:r w:rsidRPr="007654BF">
              <w:rPr>
                <w:rFonts w:asciiTheme="minorHAnsi" w:hAnsiTheme="minorHAnsi"/>
                <w:b/>
                <w:sz w:val="22"/>
                <w:szCs w:val="22"/>
              </w:rPr>
              <w:t>legge delega di riforma fiscale entro settembre 2015</w:t>
            </w:r>
            <w:r w:rsidRPr="008F3715">
              <w:rPr>
                <w:rFonts w:asciiTheme="minorHAnsi" w:hAnsiTheme="minorHAnsi"/>
                <w:sz w:val="22"/>
                <w:szCs w:val="22"/>
              </w:rPr>
              <w:t xml:space="preserve">, con particolare riguardo alla </w:t>
            </w:r>
            <w:r w:rsidRPr="007654BF">
              <w:rPr>
                <w:rFonts w:asciiTheme="minorHAnsi" w:hAnsiTheme="minorHAnsi"/>
                <w:b/>
                <w:sz w:val="22"/>
                <w:szCs w:val="22"/>
              </w:rPr>
              <w:t xml:space="preserve">revisione delle </w:t>
            </w:r>
            <w:r w:rsidRPr="007654BF">
              <w:rPr>
                <w:rFonts w:asciiTheme="minorHAnsi" w:hAnsiTheme="minorHAnsi"/>
                <w:b/>
                <w:color w:val="auto"/>
                <w:sz w:val="22"/>
                <w:szCs w:val="22"/>
              </w:rPr>
              <w:t>agevolazioni fiscali e dei valori catastali</w:t>
            </w:r>
            <w:r w:rsidRPr="008F3715">
              <w:rPr>
                <w:rFonts w:asciiTheme="minorHAnsi" w:hAnsiTheme="minorHAnsi"/>
                <w:color w:val="auto"/>
                <w:sz w:val="22"/>
                <w:szCs w:val="22"/>
              </w:rPr>
              <w:t xml:space="preserve"> e alle misure per migliorare il rispetto della </w:t>
            </w:r>
            <w:r w:rsidRPr="007654BF">
              <w:rPr>
                <w:rFonts w:asciiTheme="minorHAnsi" w:hAnsiTheme="minorHAnsi"/>
                <w:b/>
                <w:color w:val="auto"/>
                <w:sz w:val="22"/>
                <w:szCs w:val="22"/>
              </w:rPr>
              <w:t>normativa tributaria</w:t>
            </w:r>
            <w:r w:rsidRPr="008F3715">
              <w:rPr>
                <w:rFonts w:asciiTheme="minorHAnsi" w:hAnsiTheme="minorHAnsi"/>
                <w:color w:val="auto"/>
                <w:sz w:val="22"/>
                <w:szCs w:val="22"/>
              </w:rPr>
              <w:t>;</w:t>
            </w:r>
          </w:p>
          <w:p w:rsidR="00ED57EA" w:rsidRDefault="00ED57EA" w:rsidP="00DB1FBB">
            <w:pPr>
              <w:pStyle w:val="Default"/>
              <w:jc w:val="both"/>
              <w:rPr>
                <w:rFonts w:asciiTheme="minorHAnsi" w:hAnsiTheme="minorHAnsi"/>
                <w:color w:val="auto"/>
                <w:sz w:val="22"/>
                <w:szCs w:val="22"/>
              </w:rPr>
            </w:pPr>
          </w:p>
          <w:p w:rsidR="00ED57EA" w:rsidRPr="008F3715" w:rsidRDefault="00ED57EA" w:rsidP="00506F32">
            <w:pPr>
              <w:pStyle w:val="Default"/>
              <w:jc w:val="both"/>
              <w:rPr>
                <w:rFonts w:asciiTheme="minorHAnsi" w:hAnsiTheme="minorHAnsi"/>
                <w:color w:val="auto"/>
                <w:sz w:val="22"/>
                <w:szCs w:val="22"/>
              </w:rPr>
            </w:pPr>
          </w:p>
        </w:tc>
        <w:tc>
          <w:tcPr>
            <w:tcW w:w="2268" w:type="dxa"/>
          </w:tcPr>
          <w:p w:rsidR="00674FE5" w:rsidRPr="008F3715" w:rsidRDefault="00674FE5" w:rsidP="007D5567">
            <w:r w:rsidRPr="008F3715">
              <w:rPr>
                <w:b/>
              </w:rPr>
              <w:lastRenderedPageBreak/>
              <w:t>Finanze pubbliche</w:t>
            </w:r>
            <w:r w:rsidRPr="008F3715">
              <w:t>:</w:t>
            </w:r>
          </w:p>
          <w:p w:rsidR="00674FE5" w:rsidRPr="008F3715" w:rsidRDefault="00674FE5" w:rsidP="00F27DA6">
            <w:pPr>
              <w:pStyle w:val="Paragrafoelenco"/>
              <w:numPr>
                <w:ilvl w:val="0"/>
                <w:numId w:val="1"/>
              </w:numPr>
              <w:ind w:left="176" w:hanging="176"/>
            </w:pPr>
            <w:r>
              <w:t>R</w:t>
            </w:r>
            <w:r w:rsidRPr="008F3715">
              <w:t>iduzione del debito pub</w:t>
            </w:r>
            <w:r>
              <w:t>blico;</w:t>
            </w:r>
          </w:p>
          <w:p w:rsidR="00674FE5" w:rsidRDefault="00674FE5" w:rsidP="00816378">
            <w:pPr>
              <w:pStyle w:val="Paragrafoelenco"/>
              <w:numPr>
                <w:ilvl w:val="0"/>
                <w:numId w:val="1"/>
              </w:numPr>
              <w:ind w:left="176" w:hanging="176"/>
            </w:pPr>
            <w:r>
              <w:t>P</w:t>
            </w:r>
            <w:r w:rsidRPr="008F3715">
              <w:t>rivatizzazioni;</w:t>
            </w:r>
          </w:p>
          <w:p w:rsidR="00096BB7" w:rsidRPr="008F3715" w:rsidRDefault="00096BB7" w:rsidP="00816378">
            <w:pPr>
              <w:pStyle w:val="Paragrafoelenco"/>
              <w:numPr>
                <w:ilvl w:val="0"/>
                <w:numId w:val="1"/>
              </w:numPr>
              <w:ind w:left="176" w:hanging="176"/>
            </w:pPr>
            <w:r>
              <w:t>Spending review</w:t>
            </w:r>
          </w:p>
          <w:p w:rsidR="00674FE5" w:rsidRPr="008F3715" w:rsidRDefault="00674FE5" w:rsidP="00FA5C74">
            <w:pPr>
              <w:pStyle w:val="Paragrafoelenco"/>
              <w:ind w:left="176"/>
            </w:pPr>
          </w:p>
          <w:p w:rsidR="00674FE5" w:rsidRPr="008F3715" w:rsidRDefault="00674FE5" w:rsidP="00724AF0"/>
          <w:p w:rsidR="00674FE5" w:rsidRPr="008F3715" w:rsidRDefault="00674FE5" w:rsidP="00724AF0">
            <w:r w:rsidRPr="008F3715">
              <w:rPr>
                <w:b/>
              </w:rPr>
              <w:t>Politiche fiscali</w:t>
            </w:r>
            <w:r w:rsidRPr="008F3715">
              <w:t>:</w:t>
            </w:r>
          </w:p>
          <w:p w:rsidR="00674FE5" w:rsidRDefault="00674FE5" w:rsidP="00724AF0">
            <w:pPr>
              <w:pStyle w:val="Paragrafoelenco"/>
              <w:numPr>
                <w:ilvl w:val="0"/>
                <w:numId w:val="2"/>
              </w:numPr>
              <w:ind w:left="176" w:hanging="176"/>
            </w:pPr>
            <w:r w:rsidRPr="008F3715">
              <w:t>Riforma fiscale (revisione agevolazioni fiscali, normativa tributaria</w:t>
            </w:r>
            <w:r>
              <w:t>)</w:t>
            </w:r>
            <w:r w:rsidR="00825E1C">
              <w:t>;</w:t>
            </w:r>
          </w:p>
          <w:p w:rsidR="00903AC0" w:rsidRPr="007654BF" w:rsidRDefault="00903AC0" w:rsidP="00724AF0">
            <w:pPr>
              <w:pStyle w:val="Paragrafoelenco"/>
              <w:numPr>
                <w:ilvl w:val="0"/>
                <w:numId w:val="2"/>
              </w:numPr>
              <w:ind w:left="176" w:hanging="176"/>
            </w:pPr>
            <w:r w:rsidRPr="007654BF">
              <w:t>Revisione imposizione ambientale</w:t>
            </w:r>
          </w:p>
          <w:p w:rsidR="00674FE5" w:rsidRPr="008F3715" w:rsidRDefault="00674FE5" w:rsidP="00724AF0">
            <w:pPr>
              <w:pStyle w:val="Paragrafoelenco"/>
              <w:numPr>
                <w:ilvl w:val="0"/>
                <w:numId w:val="2"/>
              </w:numPr>
              <w:ind w:left="176" w:hanging="176"/>
            </w:pPr>
            <w:r>
              <w:t>A</w:t>
            </w:r>
            <w:r w:rsidRPr="008F3715">
              <w:t>llegg</w:t>
            </w:r>
            <w:r>
              <w:t>erire pressione fiscale</w:t>
            </w:r>
            <w:r w:rsidR="00825E1C">
              <w:t>;</w:t>
            </w:r>
          </w:p>
          <w:p w:rsidR="00674FE5" w:rsidRPr="008F3715" w:rsidRDefault="00674FE5" w:rsidP="00724AF0">
            <w:pPr>
              <w:pStyle w:val="Paragrafoelenco"/>
              <w:numPr>
                <w:ilvl w:val="0"/>
                <w:numId w:val="2"/>
              </w:numPr>
              <w:ind w:left="176" w:hanging="176"/>
            </w:pPr>
            <w:r>
              <w:t>R</w:t>
            </w:r>
            <w:r w:rsidRPr="008F3715">
              <w:t>evisione del catasto;</w:t>
            </w:r>
          </w:p>
          <w:p w:rsidR="00674FE5" w:rsidRPr="008F3715" w:rsidRDefault="00674FE5" w:rsidP="00724AF0">
            <w:pPr>
              <w:pStyle w:val="Paragrafoelenco"/>
              <w:numPr>
                <w:ilvl w:val="0"/>
                <w:numId w:val="2"/>
              </w:numPr>
              <w:ind w:left="176" w:hanging="176"/>
            </w:pPr>
            <w:r>
              <w:t>Lotta evasione fiscale</w:t>
            </w:r>
            <w:r w:rsidRPr="008F3715">
              <w:t>.</w:t>
            </w:r>
          </w:p>
          <w:p w:rsidR="00674FE5" w:rsidRPr="008F3715" w:rsidRDefault="00674FE5" w:rsidP="00724AF0"/>
        </w:tc>
        <w:tc>
          <w:tcPr>
            <w:tcW w:w="1700" w:type="dxa"/>
          </w:tcPr>
          <w:p w:rsidR="00674FE5" w:rsidRPr="008F3715" w:rsidRDefault="004D56F6" w:rsidP="007D5567">
            <w:pPr>
              <w:rPr>
                <w:b/>
              </w:rPr>
            </w:pPr>
            <w:r>
              <w:t>L</w:t>
            </w:r>
            <w:r w:rsidR="00674FE5" w:rsidRPr="008F3715">
              <w:t xml:space="preserve">egge delega di riforma fiscale </w:t>
            </w:r>
            <w:r w:rsidR="00674FE5" w:rsidRPr="00674FE5">
              <w:rPr>
                <w:b/>
              </w:rPr>
              <w:t>entro settembre 2015</w:t>
            </w:r>
          </w:p>
        </w:tc>
      </w:tr>
      <w:tr w:rsidR="00674FE5" w:rsidTr="00674FE5">
        <w:tc>
          <w:tcPr>
            <w:tcW w:w="6237" w:type="dxa"/>
          </w:tcPr>
          <w:p w:rsidR="00674FE5" w:rsidRPr="008F3715" w:rsidRDefault="00674FE5" w:rsidP="0017258A">
            <w:pPr>
              <w:pStyle w:val="Default"/>
              <w:jc w:val="both"/>
              <w:rPr>
                <w:rFonts w:asciiTheme="minorHAnsi" w:hAnsiTheme="minorHAnsi"/>
                <w:sz w:val="22"/>
                <w:szCs w:val="22"/>
              </w:rPr>
            </w:pPr>
            <w:r w:rsidRPr="008F3715">
              <w:rPr>
                <w:rFonts w:asciiTheme="minorHAnsi" w:hAnsiTheme="minorHAnsi"/>
                <w:sz w:val="22"/>
                <w:szCs w:val="22"/>
              </w:rPr>
              <w:lastRenderedPageBreak/>
              <w:t xml:space="preserve">(16) Limitati sono stati i progressi verso un miglioramento duraturo dell'efficienza e della qualità della spesa pubblica a tutti i livelli dell'amministrazione. I risparmi di bilancio approvati per legge, anche a livello regionale e locale, sono inferiori a quanto previsto dal programma nazionale di riforma 2014. Il fatto che </w:t>
            </w:r>
            <w:r w:rsidRPr="00746698">
              <w:rPr>
                <w:rFonts w:asciiTheme="minorHAnsi" w:hAnsiTheme="minorHAnsi"/>
                <w:b/>
                <w:sz w:val="22"/>
                <w:szCs w:val="22"/>
              </w:rPr>
              <w:t>la revisione della spesa non costituisca ancora parte integrante del processo di bilancio incide negativamente sulla generale efficienza a lungo termine dell'esercizio</w:t>
            </w:r>
            <w:r w:rsidRPr="008F3715">
              <w:rPr>
                <w:rFonts w:asciiTheme="minorHAnsi" w:hAnsiTheme="minorHAnsi"/>
                <w:sz w:val="22"/>
                <w:szCs w:val="22"/>
              </w:rPr>
              <w:t xml:space="preserve">. In materia di </w:t>
            </w:r>
            <w:r w:rsidRPr="00FA5C74">
              <w:rPr>
                <w:rFonts w:asciiTheme="minorHAnsi" w:hAnsiTheme="minorHAnsi"/>
                <w:b/>
                <w:sz w:val="22"/>
                <w:szCs w:val="22"/>
              </w:rPr>
              <w:t>gestione dei fondi dell'UE</w:t>
            </w:r>
            <w:r w:rsidRPr="008F3715">
              <w:rPr>
                <w:rFonts w:asciiTheme="minorHAnsi" w:hAnsiTheme="minorHAnsi"/>
                <w:sz w:val="22"/>
                <w:szCs w:val="22"/>
              </w:rPr>
              <w:t xml:space="preserve"> persistono gravi carenze, in particolare nelle regioni meridionali. È in fase di preparazione un </w:t>
            </w:r>
            <w:r w:rsidRPr="00FA5C74">
              <w:rPr>
                <w:rFonts w:asciiTheme="minorHAnsi" w:hAnsiTheme="minorHAnsi"/>
                <w:b/>
                <w:sz w:val="22"/>
                <w:szCs w:val="22"/>
              </w:rPr>
              <w:t>piano strategico nazionale della portualità e della logistica</w:t>
            </w:r>
            <w:r w:rsidRPr="008F3715">
              <w:rPr>
                <w:rFonts w:asciiTheme="minorHAnsi" w:hAnsiTheme="minorHAnsi"/>
                <w:sz w:val="22"/>
                <w:szCs w:val="22"/>
              </w:rPr>
              <w:t xml:space="preserve">, ma parziali sono stati i passi in avanti per il miglioramento dei porti e dei loro collegamenti con l'entroterra. </w:t>
            </w:r>
          </w:p>
        </w:tc>
        <w:tc>
          <w:tcPr>
            <w:tcW w:w="3828" w:type="dxa"/>
          </w:tcPr>
          <w:p w:rsidR="00674FE5" w:rsidRPr="008F3715" w:rsidRDefault="00674FE5" w:rsidP="00724AF0">
            <w:pPr>
              <w:pStyle w:val="Default"/>
              <w:jc w:val="both"/>
              <w:rPr>
                <w:rFonts w:asciiTheme="minorHAnsi" w:hAnsiTheme="minorHAnsi"/>
                <w:sz w:val="22"/>
                <w:szCs w:val="22"/>
              </w:rPr>
            </w:pPr>
            <w:r w:rsidRPr="00DB1FBB">
              <w:rPr>
                <w:rFonts w:asciiTheme="minorHAnsi" w:hAnsiTheme="minorHAnsi"/>
                <w:b/>
                <w:sz w:val="28"/>
                <w:szCs w:val="28"/>
              </w:rPr>
              <w:t>2.</w:t>
            </w:r>
            <w:r w:rsidRPr="008F3715">
              <w:rPr>
                <w:rFonts w:asciiTheme="minorHAnsi" w:hAnsiTheme="minorHAnsi"/>
                <w:sz w:val="22"/>
                <w:szCs w:val="22"/>
              </w:rPr>
              <w:t xml:space="preserve"> adottare il </w:t>
            </w:r>
            <w:r w:rsidRPr="00746698">
              <w:rPr>
                <w:rFonts w:asciiTheme="minorHAnsi" w:hAnsiTheme="minorHAnsi"/>
                <w:b/>
                <w:sz w:val="22"/>
                <w:szCs w:val="22"/>
              </w:rPr>
              <w:t>piano strategico nazionale della portualità e della logistica</w:t>
            </w:r>
            <w:r w:rsidRPr="008F3715">
              <w:rPr>
                <w:rFonts w:asciiTheme="minorHAnsi" w:hAnsiTheme="minorHAnsi"/>
                <w:sz w:val="22"/>
                <w:szCs w:val="22"/>
              </w:rPr>
              <w:t xml:space="preserve"> previsto, in particolare per contribuire alla </w:t>
            </w:r>
            <w:r w:rsidRPr="00746698">
              <w:rPr>
                <w:rFonts w:asciiTheme="minorHAnsi" w:hAnsiTheme="minorHAnsi"/>
                <w:b/>
                <w:sz w:val="22"/>
                <w:szCs w:val="22"/>
              </w:rPr>
              <w:t>promozione del trasporto intermodale</w:t>
            </w:r>
            <w:r w:rsidRPr="008F3715">
              <w:rPr>
                <w:rFonts w:asciiTheme="minorHAnsi" w:hAnsiTheme="minorHAnsi"/>
                <w:sz w:val="22"/>
                <w:szCs w:val="22"/>
              </w:rPr>
              <w:t xml:space="preserve"> mediante migliori collegamenti; assicurare la piena </w:t>
            </w:r>
            <w:r w:rsidRPr="00746698">
              <w:rPr>
                <w:rFonts w:asciiTheme="minorHAnsi" w:hAnsiTheme="minorHAnsi"/>
                <w:b/>
                <w:sz w:val="22"/>
                <w:szCs w:val="22"/>
              </w:rPr>
              <w:t>operatività dell'Agenzia per la coesione</w:t>
            </w:r>
            <w:r w:rsidRPr="008F3715">
              <w:rPr>
                <w:rFonts w:asciiTheme="minorHAnsi" w:hAnsiTheme="minorHAnsi"/>
                <w:sz w:val="22"/>
                <w:szCs w:val="22"/>
              </w:rPr>
              <w:t xml:space="preserve"> territoriale in modo da determinare un sensibile </w:t>
            </w:r>
            <w:r w:rsidRPr="00746698">
              <w:rPr>
                <w:rFonts w:asciiTheme="minorHAnsi" w:hAnsiTheme="minorHAnsi"/>
                <w:b/>
                <w:sz w:val="22"/>
                <w:szCs w:val="22"/>
              </w:rPr>
              <w:t>miglioramento della gestione dei fondi dell'UE</w:t>
            </w:r>
            <w:r w:rsidRPr="008F3715">
              <w:rPr>
                <w:rFonts w:asciiTheme="minorHAnsi" w:hAnsiTheme="minorHAnsi"/>
                <w:sz w:val="22"/>
                <w:szCs w:val="22"/>
              </w:rPr>
              <w:t xml:space="preserve">; </w:t>
            </w:r>
          </w:p>
          <w:p w:rsidR="00674FE5" w:rsidRPr="008F3715" w:rsidRDefault="00674FE5" w:rsidP="00724AF0">
            <w:pPr>
              <w:jc w:val="both"/>
            </w:pPr>
          </w:p>
        </w:tc>
        <w:tc>
          <w:tcPr>
            <w:tcW w:w="2268" w:type="dxa"/>
          </w:tcPr>
          <w:p w:rsidR="00674FE5" w:rsidRDefault="00674FE5" w:rsidP="00724AF0">
            <w:pPr>
              <w:pStyle w:val="Paragrafoelenco"/>
              <w:numPr>
                <w:ilvl w:val="0"/>
                <w:numId w:val="3"/>
              </w:numPr>
              <w:ind w:left="176" w:hanging="176"/>
            </w:pPr>
            <w:r w:rsidRPr="008F3715">
              <w:t>Piano strategico nazionale Portualità e logistica (trasporto intermodale)</w:t>
            </w:r>
          </w:p>
          <w:p w:rsidR="00674FE5" w:rsidRPr="008F3715" w:rsidRDefault="00674FE5" w:rsidP="00FA5C74">
            <w:pPr>
              <w:pStyle w:val="Paragrafoelenco"/>
              <w:ind w:left="176"/>
            </w:pPr>
          </w:p>
          <w:p w:rsidR="00674FE5" w:rsidRPr="008F3715" w:rsidRDefault="00674FE5" w:rsidP="00724AF0">
            <w:pPr>
              <w:pStyle w:val="Paragrafoelenco"/>
              <w:numPr>
                <w:ilvl w:val="0"/>
                <w:numId w:val="3"/>
              </w:numPr>
              <w:ind w:left="176" w:hanging="176"/>
            </w:pPr>
            <w:r w:rsidRPr="008F3715">
              <w:t>Operatività Agenzia per la Coesione territoriale (migliorare gestione fondi UE);</w:t>
            </w:r>
          </w:p>
          <w:p w:rsidR="00674FE5" w:rsidRPr="008F3715" w:rsidRDefault="00674FE5" w:rsidP="00724AF0">
            <w:pPr>
              <w:pStyle w:val="Paragrafoelenco"/>
              <w:ind w:left="176"/>
              <w:rPr>
                <w:b/>
              </w:rPr>
            </w:pPr>
          </w:p>
        </w:tc>
        <w:tc>
          <w:tcPr>
            <w:tcW w:w="1700" w:type="dxa"/>
          </w:tcPr>
          <w:p w:rsidR="00674FE5" w:rsidRPr="008F3715" w:rsidRDefault="00674FE5" w:rsidP="00674FE5">
            <w:pPr>
              <w:pStyle w:val="Paragrafoelenco"/>
              <w:ind w:left="176"/>
            </w:pPr>
          </w:p>
        </w:tc>
      </w:tr>
      <w:tr w:rsidR="00674FE5" w:rsidTr="00674FE5">
        <w:tc>
          <w:tcPr>
            <w:tcW w:w="6237" w:type="dxa"/>
          </w:tcPr>
          <w:p w:rsidR="00674FE5" w:rsidRPr="008F3715" w:rsidRDefault="00674FE5" w:rsidP="00746698">
            <w:pPr>
              <w:pStyle w:val="Default"/>
              <w:jc w:val="both"/>
              <w:rPr>
                <w:rFonts w:asciiTheme="minorHAnsi" w:hAnsiTheme="minorHAnsi"/>
                <w:sz w:val="22"/>
                <w:szCs w:val="22"/>
              </w:rPr>
            </w:pPr>
            <w:r w:rsidRPr="008F3715">
              <w:rPr>
                <w:rFonts w:asciiTheme="minorHAnsi" w:hAnsiTheme="minorHAnsi"/>
                <w:sz w:val="22"/>
                <w:szCs w:val="22"/>
              </w:rPr>
              <w:t xml:space="preserve">(17) La pubblica amministrazione italiana è ancora caratterizzata da significative inefficienze che gravano sul contesto imprenditoriale e sulla capacità del paese di attuare efficacemente le riforme. Sono stati compiuti e continuano a essere profusi sforzi intesi a </w:t>
            </w:r>
            <w:r w:rsidRPr="00FA5C74">
              <w:rPr>
                <w:rFonts w:asciiTheme="minorHAnsi" w:hAnsiTheme="minorHAnsi"/>
                <w:b/>
                <w:sz w:val="22"/>
                <w:szCs w:val="22"/>
              </w:rPr>
              <w:t>migliorare il quadro istituzionale e la qualità complessiva della pubblica amministrazione</w:t>
            </w:r>
            <w:r w:rsidRPr="008F3715">
              <w:rPr>
                <w:rFonts w:asciiTheme="minorHAnsi" w:hAnsiTheme="minorHAnsi"/>
                <w:sz w:val="22"/>
                <w:szCs w:val="22"/>
              </w:rPr>
              <w:t xml:space="preserve">. Per la fine del 2015 è prevista un'ambiziosa </w:t>
            </w:r>
            <w:r w:rsidRPr="00FA5C74">
              <w:rPr>
                <w:rFonts w:asciiTheme="minorHAnsi" w:hAnsiTheme="minorHAnsi"/>
                <w:b/>
                <w:sz w:val="22"/>
                <w:szCs w:val="22"/>
              </w:rPr>
              <w:lastRenderedPageBreak/>
              <w:t>riforma della Costituzione</w:t>
            </w:r>
            <w:r w:rsidRPr="008F3715">
              <w:rPr>
                <w:rFonts w:asciiTheme="minorHAnsi" w:hAnsiTheme="minorHAnsi"/>
                <w:sz w:val="22"/>
                <w:szCs w:val="22"/>
              </w:rPr>
              <w:t>, particolarmente volta a chiarire la ripartizione delle competenze tra i vari livelli dell'amministrazione. Non è ancora stata completata una riforma complessiva della pubblica amministrazione in materia</w:t>
            </w:r>
            <w:r w:rsidR="00746698">
              <w:rPr>
                <w:rFonts w:asciiTheme="minorHAnsi" w:hAnsiTheme="minorHAnsi"/>
                <w:color w:val="auto"/>
                <w:sz w:val="22"/>
                <w:szCs w:val="22"/>
              </w:rPr>
              <w:t>,</w:t>
            </w:r>
            <w:r w:rsidRPr="00F754BE">
              <w:rPr>
                <w:rFonts w:asciiTheme="minorHAnsi" w:hAnsiTheme="minorHAnsi"/>
                <w:color w:val="FF0000"/>
                <w:sz w:val="22"/>
                <w:szCs w:val="22"/>
              </w:rPr>
              <w:t xml:space="preserve"> </w:t>
            </w:r>
            <w:r w:rsidR="00746698">
              <w:rPr>
                <w:rFonts w:asciiTheme="minorHAnsi" w:hAnsiTheme="minorHAnsi"/>
                <w:color w:val="auto"/>
                <w:sz w:val="22"/>
                <w:szCs w:val="22"/>
              </w:rPr>
              <w:t>tra l’altro</w:t>
            </w:r>
            <w:r w:rsidR="00F754BE">
              <w:rPr>
                <w:rFonts w:asciiTheme="minorHAnsi" w:hAnsiTheme="minorHAnsi"/>
                <w:sz w:val="22"/>
                <w:szCs w:val="22"/>
              </w:rPr>
              <w:t xml:space="preserve">, </w:t>
            </w:r>
            <w:r w:rsidRPr="008F3715">
              <w:rPr>
                <w:rFonts w:asciiTheme="minorHAnsi" w:hAnsiTheme="minorHAnsi"/>
                <w:sz w:val="22"/>
                <w:szCs w:val="22"/>
              </w:rPr>
              <w:t xml:space="preserve">di </w:t>
            </w:r>
            <w:r w:rsidRPr="00FA5C74">
              <w:rPr>
                <w:rFonts w:asciiTheme="minorHAnsi" w:hAnsiTheme="minorHAnsi"/>
                <w:b/>
                <w:sz w:val="22"/>
                <w:szCs w:val="22"/>
              </w:rPr>
              <w:t>ricambio del personale, mobilità e retribuzioni</w:t>
            </w:r>
            <w:r w:rsidRPr="008F3715">
              <w:rPr>
                <w:rFonts w:asciiTheme="minorHAnsi" w:hAnsiTheme="minorHAnsi"/>
                <w:sz w:val="22"/>
                <w:szCs w:val="22"/>
              </w:rPr>
              <w:t xml:space="preserve">. Benché siano stati compiuti passi in avanti per incrementare </w:t>
            </w:r>
            <w:r w:rsidRPr="008F3715">
              <w:rPr>
                <w:rFonts w:asciiTheme="minorHAnsi" w:hAnsiTheme="minorHAnsi"/>
                <w:color w:val="auto"/>
                <w:sz w:val="22"/>
                <w:szCs w:val="22"/>
              </w:rPr>
              <w:t xml:space="preserve">la trasparenza e </w:t>
            </w:r>
            <w:r w:rsidRPr="00FA5C74">
              <w:rPr>
                <w:rFonts w:asciiTheme="minorHAnsi" w:hAnsiTheme="minorHAnsi"/>
                <w:b/>
                <w:color w:val="auto"/>
                <w:sz w:val="22"/>
                <w:szCs w:val="22"/>
              </w:rPr>
              <w:t>rafforzare i poteri dell'autorità nazionale anticorruzione,</w:t>
            </w:r>
            <w:r w:rsidRPr="008F3715">
              <w:rPr>
                <w:rFonts w:asciiTheme="minorHAnsi" w:hAnsiTheme="minorHAnsi"/>
                <w:color w:val="auto"/>
                <w:sz w:val="22"/>
                <w:szCs w:val="22"/>
              </w:rPr>
              <w:t xml:space="preserve"> non è stata ancora effettuata </w:t>
            </w:r>
            <w:r w:rsidRPr="00FA5C74">
              <w:rPr>
                <w:rFonts w:asciiTheme="minorHAnsi" w:hAnsiTheme="minorHAnsi"/>
                <w:b/>
                <w:color w:val="auto"/>
                <w:sz w:val="22"/>
                <w:szCs w:val="22"/>
              </w:rPr>
              <w:t>la riforma dei termini di prescrizione</w:t>
            </w:r>
            <w:r w:rsidRPr="008F3715">
              <w:rPr>
                <w:rFonts w:asciiTheme="minorHAnsi" w:hAnsiTheme="minorHAnsi"/>
                <w:color w:val="auto"/>
                <w:sz w:val="22"/>
                <w:szCs w:val="22"/>
              </w:rPr>
              <w:t xml:space="preserve">, ritenuta anche da altre organizzazioni internazionali un caposaldo della lotta contro la corruzione in Italia. Negli ultimi anni sono state prese misure importanti sia per migliorare l'amministrazione della giustizia, mediante la revisione della geografia giudiziaria e la creazione di tribunali specializzati, sia per ridurre il numero di ricorsi, promuovendo la risoluzione extragiudiziale delle controversie. La lunghezza dei procedimenti rimane un grave problema e la riforma intrapresa deve ancora portare i primi frutti. </w:t>
            </w:r>
          </w:p>
        </w:tc>
        <w:tc>
          <w:tcPr>
            <w:tcW w:w="3828" w:type="dxa"/>
          </w:tcPr>
          <w:p w:rsidR="00674FE5" w:rsidRPr="008F3715" w:rsidRDefault="00674FE5" w:rsidP="00FA5C74">
            <w:pPr>
              <w:pStyle w:val="Default"/>
              <w:jc w:val="both"/>
              <w:rPr>
                <w:rFonts w:asciiTheme="minorHAnsi" w:hAnsiTheme="minorHAnsi"/>
                <w:sz w:val="22"/>
                <w:szCs w:val="22"/>
              </w:rPr>
            </w:pPr>
            <w:r w:rsidRPr="00DB1FBB">
              <w:rPr>
                <w:rFonts w:asciiTheme="minorHAnsi" w:hAnsiTheme="minorHAnsi"/>
                <w:b/>
                <w:sz w:val="28"/>
                <w:szCs w:val="28"/>
              </w:rPr>
              <w:lastRenderedPageBreak/>
              <w:t>3.</w:t>
            </w:r>
            <w:r w:rsidRPr="008F3715">
              <w:rPr>
                <w:rFonts w:asciiTheme="minorHAnsi" w:hAnsiTheme="minorHAnsi"/>
                <w:sz w:val="22"/>
                <w:szCs w:val="22"/>
              </w:rPr>
              <w:t xml:space="preserve"> adottare e attuare le leggi in discussione intese a migliorare il quadro istituzionale e a modernizzare la pubblica amministrazione; riformare l'istituto della prescrizione entro la metà del 2015; fare in modo che le riforme </w:t>
            </w:r>
            <w:r w:rsidRPr="008F3715">
              <w:rPr>
                <w:rFonts w:asciiTheme="minorHAnsi" w:hAnsiTheme="minorHAnsi"/>
                <w:sz w:val="22"/>
                <w:szCs w:val="22"/>
              </w:rPr>
              <w:lastRenderedPageBreak/>
              <w:t xml:space="preserve">adottate per migliorare l'efficienza della giustizia civile contribuiscano a ridurre la durata dei procedimenti; </w:t>
            </w:r>
          </w:p>
        </w:tc>
        <w:tc>
          <w:tcPr>
            <w:tcW w:w="2268" w:type="dxa"/>
          </w:tcPr>
          <w:p w:rsidR="00674FE5" w:rsidRPr="008F3715" w:rsidRDefault="00674FE5" w:rsidP="007D5567">
            <w:pPr>
              <w:rPr>
                <w:b/>
              </w:rPr>
            </w:pPr>
            <w:r w:rsidRPr="008F3715">
              <w:rPr>
                <w:b/>
              </w:rPr>
              <w:lastRenderedPageBreak/>
              <w:t>Efficienza P.A.:</w:t>
            </w:r>
          </w:p>
          <w:p w:rsidR="00674FE5" w:rsidRDefault="00674FE5" w:rsidP="00816378">
            <w:pPr>
              <w:pStyle w:val="Paragrafoelenco"/>
              <w:numPr>
                <w:ilvl w:val="0"/>
                <w:numId w:val="3"/>
              </w:numPr>
              <w:ind w:left="176" w:hanging="176"/>
            </w:pPr>
            <w:r w:rsidRPr="008F3715">
              <w:t>Modernizzazione P.A.</w:t>
            </w:r>
          </w:p>
          <w:p w:rsidR="00674FE5" w:rsidRPr="008F3715" w:rsidRDefault="00674FE5" w:rsidP="00816378">
            <w:pPr>
              <w:pStyle w:val="Paragrafoelenco"/>
              <w:numPr>
                <w:ilvl w:val="0"/>
                <w:numId w:val="3"/>
              </w:numPr>
              <w:ind w:left="176" w:hanging="176"/>
            </w:pPr>
            <w:r>
              <w:t>Riforma della Costituzione</w:t>
            </w:r>
          </w:p>
          <w:p w:rsidR="00674FE5" w:rsidRPr="008F3715" w:rsidRDefault="00674FE5" w:rsidP="00816378">
            <w:pPr>
              <w:pStyle w:val="Paragrafoelenco"/>
              <w:numPr>
                <w:ilvl w:val="0"/>
                <w:numId w:val="3"/>
              </w:numPr>
              <w:ind w:left="176" w:hanging="176"/>
            </w:pPr>
            <w:r w:rsidRPr="008F3715">
              <w:lastRenderedPageBreak/>
              <w:t>Riforma dell’istituto della prescrizione</w:t>
            </w:r>
          </w:p>
          <w:p w:rsidR="00674FE5" w:rsidRPr="008F3715" w:rsidRDefault="00674FE5" w:rsidP="00816378">
            <w:pPr>
              <w:pStyle w:val="Paragrafoelenco"/>
              <w:numPr>
                <w:ilvl w:val="0"/>
                <w:numId w:val="3"/>
              </w:numPr>
              <w:ind w:left="176" w:hanging="176"/>
            </w:pPr>
            <w:r w:rsidRPr="008F3715">
              <w:t>Efficienza giustizia civile.</w:t>
            </w:r>
          </w:p>
          <w:p w:rsidR="00674FE5" w:rsidRPr="008F3715" w:rsidRDefault="00674FE5" w:rsidP="007D5567"/>
        </w:tc>
        <w:tc>
          <w:tcPr>
            <w:tcW w:w="1700" w:type="dxa"/>
          </w:tcPr>
          <w:p w:rsidR="00674FE5" w:rsidRPr="008F3715" w:rsidRDefault="00674FE5" w:rsidP="007D5567">
            <w:pPr>
              <w:rPr>
                <w:b/>
              </w:rPr>
            </w:pPr>
            <w:r w:rsidRPr="008F3715">
              <w:lastRenderedPageBreak/>
              <w:t xml:space="preserve">istituto della prescrizione </w:t>
            </w:r>
            <w:r>
              <w:rPr>
                <w:b/>
              </w:rPr>
              <w:t>entro la metà del 2015</w:t>
            </w:r>
          </w:p>
        </w:tc>
      </w:tr>
      <w:tr w:rsidR="00674FE5" w:rsidTr="00674FE5">
        <w:tc>
          <w:tcPr>
            <w:tcW w:w="6237" w:type="dxa"/>
          </w:tcPr>
          <w:p w:rsidR="00F754BE" w:rsidRPr="008F3715" w:rsidRDefault="00674FE5" w:rsidP="005F7ACF">
            <w:pPr>
              <w:pStyle w:val="Default"/>
              <w:jc w:val="both"/>
              <w:rPr>
                <w:rFonts w:asciiTheme="minorHAnsi" w:hAnsiTheme="minorHAnsi"/>
                <w:sz w:val="22"/>
                <w:szCs w:val="22"/>
              </w:rPr>
            </w:pPr>
            <w:r w:rsidRPr="008F3715">
              <w:rPr>
                <w:rFonts w:asciiTheme="minorHAnsi" w:hAnsiTheme="minorHAnsi"/>
                <w:sz w:val="22"/>
                <w:szCs w:val="22"/>
              </w:rPr>
              <w:lastRenderedPageBreak/>
              <w:t xml:space="preserve">(18) Dalla fine del 2008 la quota dei </w:t>
            </w:r>
            <w:r w:rsidRPr="00FA5C74">
              <w:rPr>
                <w:rFonts w:asciiTheme="minorHAnsi" w:hAnsiTheme="minorHAnsi"/>
                <w:b/>
                <w:sz w:val="22"/>
                <w:szCs w:val="22"/>
              </w:rPr>
              <w:t>crediti deteriorati del settore bancario italiano è aumentata vertiginosamente,</w:t>
            </w:r>
            <w:r w:rsidRPr="008F3715">
              <w:rPr>
                <w:rFonts w:asciiTheme="minorHAnsi" w:hAnsiTheme="minorHAnsi"/>
                <w:sz w:val="22"/>
                <w:szCs w:val="22"/>
              </w:rPr>
              <w:t xml:space="preserve"> principalmente in relazione alle esposizioni delle banche verso le imprese. Il tasso di riassorbimento delle attività deteriorate è stato finora troppo basso e limitata ne resta la liquidazione, in parte a causa del sottosviluppo del mercato italiano dei crediti deteriorati. Una recente normativa affronta </w:t>
            </w:r>
            <w:r w:rsidRPr="007360F8">
              <w:rPr>
                <w:rFonts w:asciiTheme="minorHAnsi" w:hAnsiTheme="minorHAnsi"/>
                <w:b/>
                <w:sz w:val="22"/>
                <w:szCs w:val="22"/>
              </w:rPr>
              <w:t>le debolezze del governo</w:t>
            </w:r>
            <w:r w:rsidRPr="008F3715">
              <w:rPr>
                <w:rFonts w:asciiTheme="minorHAnsi" w:hAnsiTheme="minorHAnsi"/>
                <w:sz w:val="22"/>
                <w:szCs w:val="22"/>
              </w:rPr>
              <w:t xml:space="preserve"> </w:t>
            </w:r>
            <w:r w:rsidRPr="007360F8">
              <w:rPr>
                <w:rFonts w:asciiTheme="minorHAnsi" w:hAnsiTheme="minorHAnsi"/>
                <w:b/>
                <w:sz w:val="22"/>
                <w:szCs w:val="22"/>
              </w:rPr>
              <w:t>societario delle maggiori banche cooperative (le banche popolari),</w:t>
            </w:r>
            <w:r w:rsidR="004B4C01">
              <w:rPr>
                <w:rFonts w:asciiTheme="minorHAnsi" w:hAnsiTheme="minorHAnsi"/>
                <w:b/>
                <w:sz w:val="22"/>
                <w:szCs w:val="22"/>
              </w:rPr>
              <w:t xml:space="preserve"> </w:t>
            </w:r>
            <w:r w:rsidR="004B4C01" w:rsidRPr="007579FB">
              <w:rPr>
                <w:rFonts w:asciiTheme="minorHAnsi" w:hAnsiTheme="minorHAnsi"/>
                <w:sz w:val="22"/>
                <w:szCs w:val="22"/>
              </w:rPr>
              <w:t>mentre</w:t>
            </w:r>
            <w:r w:rsidR="007579FB" w:rsidRPr="007579FB">
              <w:rPr>
                <w:rFonts w:asciiTheme="minorHAnsi" w:hAnsiTheme="minorHAnsi"/>
                <w:sz w:val="22"/>
                <w:szCs w:val="22"/>
              </w:rPr>
              <w:t xml:space="preserve"> nell’aprile 2015 è stato raggiunto un accordo </w:t>
            </w:r>
            <w:r w:rsidR="004B4C01" w:rsidRPr="007579FB">
              <w:rPr>
                <w:rFonts w:asciiTheme="minorHAnsi" w:hAnsiTheme="minorHAnsi"/>
                <w:sz w:val="22"/>
                <w:szCs w:val="22"/>
              </w:rPr>
              <w:t xml:space="preserve">tra le fondazioni e le autorità italiane, </w:t>
            </w:r>
            <w:r w:rsidR="007579FB" w:rsidRPr="007579FB">
              <w:rPr>
                <w:rFonts w:asciiTheme="minorHAnsi" w:hAnsiTheme="minorHAnsi"/>
                <w:sz w:val="22"/>
                <w:szCs w:val="22"/>
              </w:rPr>
              <w:t>inteso</w:t>
            </w:r>
            <w:r w:rsidR="004B4C01" w:rsidRPr="007579FB">
              <w:rPr>
                <w:rFonts w:asciiTheme="minorHAnsi" w:hAnsiTheme="minorHAnsi"/>
                <w:sz w:val="22"/>
                <w:szCs w:val="22"/>
              </w:rPr>
              <w:t xml:space="preserve"> tra l'altro a ridurre l'influenza delle fondazioni nel governo societario delle banche. </w:t>
            </w:r>
            <w:r w:rsidR="007579FB" w:rsidRPr="007579FB">
              <w:rPr>
                <w:rFonts w:asciiTheme="minorHAnsi" w:hAnsiTheme="minorHAnsi"/>
                <w:sz w:val="22"/>
                <w:szCs w:val="22"/>
              </w:rPr>
              <w:t xml:space="preserve"> Le piccole banche di credito cooperativo stanno attualmente preparando u</w:t>
            </w:r>
            <w:r w:rsidR="004B4C01" w:rsidRPr="007579FB">
              <w:rPr>
                <w:rFonts w:asciiTheme="minorHAnsi" w:hAnsiTheme="minorHAnsi"/>
                <w:sz w:val="22"/>
                <w:szCs w:val="22"/>
              </w:rPr>
              <w:t xml:space="preserve">na riforma non vincolante </w:t>
            </w:r>
            <w:r w:rsidR="007579FB" w:rsidRPr="007579FB">
              <w:rPr>
                <w:rFonts w:asciiTheme="minorHAnsi" w:hAnsiTheme="minorHAnsi"/>
                <w:sz w:val="22"/>
                <w:szCs w:val="22"/>
              </w:rPr>
              <w:t xml:space="preserve">del governo societario che dovrà essere successivamente </w:t>
            </w:r>
            <w:r w:rsidR="004B4C01" w:rsidRPr="007579FB">
              <w:rPr>
                <w:rFonts w:asciiTheme="minorHAnsi" w:hAnsiTheme="minorHAnsi"/>
                <w:sz w:val="22"/>
                <w:szCs w:val="22"/>
              </w:rPr>
              <w:t xml:space="preserve">attuata </w:t>
            </w:r>
            <w:r w:rsidR="007579FB" w:rsidRPr="007579FB">
              <w:rPr>
                <w:rFonts w:asciiTheme="minorHAnsi" w:hAnsiTheme="minorHAnsi"/>
                <w:sz w:val="22"/>
                <w:szCs w:val="22"/>
              </w:rPr>
              <w:t>mediante l</w:t>
            </w:r>
            <w:r w:rsidR="004B4C01" w:rsidRPr="007579FB">
              <w:rPr>
                <w:rFonts w:asciiTheme="minorHAnsi" w:hAnsiTheme="minorHAnsi"/>
                <w:sz w:val="22"/>
                <w:szCs w:val="22"/>
              </w:rPr>
              <w:t>egge</w:t>
            </w:r>
            <w:r w:rsidR="004B4C01">
              <w:rPr>
                <w:rFonts w:asciiTheme="minorHAnsi" w:hAnsiTheme="minorHAnsi"/>
                <w:sz w:val="22"/>
                <w:szCs w:val="22"/>
              </w:rPr>
              <w:t>.</w:t>
            </w:r>
            <w:r w:rsidR="005F7ACF">
              <w:rPr>
                <w:rFonts w:asciiTheme="minorHAnsi" w:hAnsiTheme="minorHAnsi"/>
                <w:sz w:val="22"/>
                <w:szCs w:val="22"/>
              </w:rPr>
              <w:t xml:space="preserve"> </w:t>
            </w:r>
            <w:r w:rsidRPr="008F3715">
              <w:rPr>
                <w:rFonts w:asciiTheme="minorHAnsi" w:hAnsiTheme="minorHAnsi"/>
                <w:sz w:val="22"/>
                <w:szCs w:val="22"/>
              </w:rPr>
              <w:t>Sono necessarie ulteriori misure di ristrutturazione e consolidamento del settore bancario italiano per migliorare l'efficacia dell'intermediazione finanziaria e sos</w:t>
            </w:r>
            <w:r w:rsidR="00F754BE">
              <w:rPr>
                <w:rFonts w:asciiTheme="minorHAnsi" w:hAnsiTheme="minorHAnsi"/>
                <w:sz w:val="22"/>
                <w:szCs w:val="22"/>
              </w:rPr>
              <w:t>tenere la ripresa dell'economia.</w:t>
            </w:r>
          </w:p>
        </w:tc>
        <w:tc>
          <w:tcPr>
            <w:tcW w:w="3828" w:type="dxa"/>
          </w:tcPr>
          <w:p w:rsidR="00674FE5" w:rsidRPr="005F7ACF" w:rsidRDefault="00674FE5" w:rsidP="00FA5C74">
            <w:pPr>
              <w:pStyle w:val="Default"/>
              <w:jc w:val="both"/>
              <w:rPr>
                <w:rFonts w:asciiTheme="minorHAnsi" w:hAnsiTheme="minorHAnsi"/>
                <w:sz w:val="22"/>
                <w:szCs w:val="22"/>
              </w:rPr>
            </w:pPr>
            <w:r w:rsidRPr="00DB1FBB">
              <w:rPr>
                <w:rFonts w:asciiTheme="minorHAnsi" w:hAnsiTheme="minorHAnsi"/>
                <w:b/>
                <w:sz w:val="28"/>
                <w:szCs w:val="28"/>
              </w:rPr>
              <w:t>4</w:t>
            </w:r>
            <w:r w:rsidRPr="005F7ACF">
              <w:rPr>
                <w:rFonts w:asciiTheme="minorHAnsi" w:hAnsiTheme="minorHAnsi"/>
                <w:b/>
                <w:sz w:val="22"/>
                <w:szCs w:val="22"/>
              </w:rPr>
              <w:t xml:space="preserve">. </w:t>
            </w:r>
            <w:r w:rsidRPr="005F7ACF">
              <w:rPr>
                <w:rFonts w:asciiTheme="minorHAnsi" w:hAnsiTheme="minorHAnsi"/>
                <w:sz w:val="22"/>
                <w:szCs w:val="22"/>
              </w:rPr>
              <w:t>introdurre</w:t>
            </w:r>
            <w:r w:rsidR="007579FB" w:rsidRPr="005F7ACF">
              <w:rPr>
                <w:rFonts w:asciiTheme="minorHAnsi" w:hAnsiTheme="minorHAnsi"/>
                <w:sz w:val="22"/>
                <w:szCs w:val="22"/>
              </w:rPr>
              <w:t xml:space="preserve"> entro la fine del 2015 </w:t>
            </w:r>
            <w:r w:rsidRPr="005F7ACF">
              <w:rPr>
                <w:rFonts w:asciiTheme="minorHAnsi" w:hAnsiTheme="minorHAnsi"/>
                <w:sz w:val="22"/>
                <w:szCs w:val="22"/>
              </w:rPr>
              <w:t xml:space="preserve">misure vincolanti per risolvere le debolezze che permangono </w:t>
            </w:r>
            <w:r w:rsidRPr="005F7ACF">
              <w:rPr>
                <w:rFonts w:asciiTheme="minorHAnsi" w:hAnsiTheme="minorHAnsi"/>
                <w:b/>
                <w:sz w:val="22"/>
                <w:szCs w:val="22"/>
              </w:rPr>
              <w:t>nel governo societario delle banche</w:t>
            </w:r>
            <w:r w:rsidRPr="005F7ACF">
              <w:rPr>
                <w:rFonts w:asciiTheme="minorHAnsi" w:hAnsiTheme="minorHAnsi"/>
                <w:sz w:val="22"/>
                <w:szCs w:val="22"/>
              </w:rPr>
              <w:t xml:space="preserve">, </w:t>
            </w:r>
            <w:r w:rsidR="007579FB" w:rsidRPr="005F7ACF">
              <w:rPr>
                <w:rFonts w:asciiTheme="minorHAnsi" w:hAnsiTheme="minorHAnsi"/>
                <w:sz w:val="22"/>
                <w:szCs w:val="22"/>
              </w:rPr>
              <w:t xml:space="preserve">dare </w:t>
            </w:r>
            <w:r w:rsidR="00703EC8" w:rsidRPr="005F7ACF">
              <w:rPr>
                <w:rFonts w:asciiTheme="minorHAnsi" w:hAnsiTheme="minorHAnsi"/>
                <w:sz w:val="22"/>
                <w:szCs w:val="22"/>
              </w:rPr>
              <w:t>a</w:t>
            </w:r>
            <w:r w:rsidR="007579FB" w:rsidRPr="005F7ACF">
              <w:rPr>
                <w:rFonts w:asciiTheme="minorHAnsi" w:hAnsiTheme="minorHAnsi"/>
                <w:color w:val="222222"/>
                <w:sz w:val="22"/>
                <w:szCs w:val="22"/>
              </w:rPr>
              <w:t>ttuazione</w:t>
            </w:r>
            <w:r w:rsidR="00703EC8" w:rsidRPr="005F7ACF">
              <w:rPr>
                <w:rFonts w:asciiTheme="minorHAnsi" w:hAnsiTheme="minorHAnsi"/>
                <w:color w:val="222222"/>
                <w:sz w:val="22"/>
                <w:szCs w:val="22"/>
              </w:rPr>
              <w:t xml:space="preserve"> </w:t>
            </w:r>
            <w:r w:rsidR="007579FB" w:rsidRPr="005F7ACF">
              <w:rPr>
                <w:rFonts w:asciiTheme="minorHAnsi" w:hAnsiTheme="minorHAnsi"/>
                <w:color w:val="222222"/>
                <w:sz w:val="22"/>
                <w:szCs w:val="22"/>
              </w:rPr>
              <w:t>al</w:t>
            </w:r>
            <w:r w:rsidR="00703EC8" w:rsidRPr="005F7ACF">
              <w:rPr>
                <w:rFonts w:asciiTheme="minorHAnsi" w:hAnsiTheme="minorHAnsi"/>
                <w:color w:val="222222"/>
                <w:sz w:val="22"/>
                <w:szCs w:val="22"/>
              </w:rPr>
              <w:t xml:space="preserve">la </w:t>
            </w:r>
            <w:r w:rsidR="00703EC8" w:rsidRPr="005F7ACF">
              <w:rPr>
                <w:rFonts w:asciiTheme="minorHAnsi" w:hAnsiTheme="minorHAnsi"/>
                <w:b/>
                <w:color w:val="222222"/>
                <w:sz w:val="22"/>
                <w:szCs w:val="22"/>
              </w:rPr>
              <w:t>riforma concordata delle fondazioni</w:t>
            </w:r>
            <w:r w:rsidR="00703EC8" w:rsidRPr="005F7ACF">
              <w:rPr>
                <w:color w:val="222222"/>
                <w:sz w:val="22"/>
                <w:szCs w:val="22"/>
              </w:rPr>
              <w:t xml:space="preserve"> </w:t>
            </w:r>
            <w:r w:rsidRPr="005F7ACF">
              <w:rPr>
                <w:rFonts w:asciiTheme="minorHAnsi" w:hAnsiTheme="minorHAnsi"/>
                <w:sz w:val="22"/>
                <w:szCs w:val="22"/>
              </w:rPr>
              <w:t xml:space="preserve">e adottare provvedimenti per accelerare la </w:t>
            </w:r>
            <w:r w:rsidRPr="005F7ACF">
              <w:rPr>
                <w:rFonts w:asciiTheme="minorHAnsi" w:hAnsiTheme="minorHAnsi"/>
                <w:b/>
                <w:sz w:val="22"/>
                <w:szCs w:val="22"/>
              </w:rPr>
              <w:t>riduzione generalizzata dei crediti deteriorati</w:t>
            </w:r>
            <w:r w:rsidRPr="005F7ACF">
              <w:rPr>
                <w:rFonts w:asciiTheme="minorHAnsi" w:hAnsiTheme="minorHAnsi"/>
                <w:sz w:val="22"/>
                <w:szCs w:val="22"/>
              </w:rPr>
              <w:t xml:space="preserve">; </w:t>
            </w:r>
          </w:p>
          <w:p w:rsidR="00D549A7" w:rsidRDefault="00D549A7" w:rsidP="00FA5C74">
            <w:pPr>
              <w:pStyle w:val="Default"/>
              <w:jc w:val="both"/>
              <w:rPr>
                <w:rFonts w:asciiTheme="minorHAnsi" w:hAnsiTheme="minorHAnsi"/>
                <w:sz w:val="22"/>
                <w:szCs w:val="22"/>
              </w:rPr>
            </w:pPr>
          </w:p>
          <w:p w:rsidR="00E04199" w:rsidRPr="008F3715" w:rsidRDefault="00E04199" w:rsidP="00E04199">
            <w:pPr>
              <w:pStyle w:val="Default"/>
              <w:jc w:val="both"/>
              <w:rPr>
                <w:rFonts w:asciiTheme="minorHAnsi" w:hAnsiTheme="minorHAnsi"/>
                <w:sz w:val="22"/>
                <w:szCs w:val="22"/>
              </w:rPr>
            </w:pPr>
          </w:p>
        </w:tc>
        <w:tc>
          <w:tcPr>
            <w:tcW w:w="2268" w:type="dxa"/>
          </w:tcPr>
          <w:p w:rsidR="00674FE5" w:rsidRPr="008F3715" w:rsidRDefault="00674FE5" w:rsidP="007D5567">
            <w:pPr>
              <w:rPr>
                <w:b/>
              </w:rPr>
            </w:pPr>
            <w:r w:rsidRPr="008F3715">
              <w:rPr>
                <w:b/>
              </w:rPr>
              <w:t>Sistema bancario:</w:t>
            </w:r>
          </w:p>
          <w:p w:rsidR="00674FE5" w:rsidRPr="008F3715" w:rsidRDefault="00096BB7" w:rsidP="008C65D7">
            <w:pPr>
              <w:pStyle w:val="Paragrafoelenco"/>
              <w:numPr>
                <w:ilvl w:val="0"/>
                <w:numId w:val="5"/>
              </w:numPr>
              <w:ind w:left="176" w:hanging="176"/>
            </w:pPr>
            <w:r>
              <w:t xml:space="preserve">Riforma delle </w:t>
            </w:r>
            <w:r w:rsidR="00674FE5" w:rsidRPr="008F3715">
              <w:t>fondazioni</w:t>
            </w:r>
          </w:p>
          <w:p w:rsidR="00674FE5" w:rsidRPr="008F3715" w:rsidRDefault="00674FE5" w:rsidP="008C65D7">
            <w:pPr>
              <w:pStyle w:val="Paragrafoelenco"/>
              <w:numPr>
                <w:ilvl w:val="0"/>
                <w:numId w:val="5"/>
              </w:numPr>
              <w:ind w:left="176" w:hanging="176"/>
            </w:pPr>
            <w:r w:rsidRPr="008F3715">
              <w:t>Riduzione dei crediti deteriorati</w:t>
            </w:r>
          </w:p>
          <w:p w:rsidR="00674FE5" w:rsidRPr="008F3715" w:rsidRDefault="00674FE5" w:rsidP="008C65D7">
            <w:pPr>
              <w:ind w:left="176" w:hanging="176"/>
            </w:pPr>
          </w:p>
        </w:tc>
        <w:tc>
          <w:tcPr>
            <w:tcW w:w="1700" w:type="dxa"/>
          </w:tcPr>
          <w:p w:rsidR="00674FE5" w:rsidRPr="008F3715" w:rsidRDefault="00674FE5" w:rsidP="00674FE5">
            <w:pPr>
              <w:rPr>
                <w:b/>
              </w:rPr>
            </w:pPr>
            <w:r w:rsidRPr="008F3715">
              <w:t>misure vincolanti  nel governo societario delle banche</w:t>
            </w:r>
            <w:r w:rsidRPr="00674FE5">
              <w:rPr>
                <w:b/>
              </w:rPr>
              <w:t xml:space="preserve"> entro la fine del 2015</w:t>
            </w:r>
          </w:p>
        </w:tc>
      </w:tr>
      <w:tr w:rsidR="00674FE5" w:rsidTr="00674FE5">
        <w:tc>
          <w:tcPr>
            <w:tcW w:w="6237" w:type="dxa"/>
          </w:tcPr>
          <w:p w:rsidR="00674FE5" w:rsidRPr="008F3715" w:rsidRDefault="00674FE5" w:rsidP="003D300B">
            <w:pPr>
              <w:pStyle w:val="Default"/>
              <w:jc w:val="both"/>
              <w:rPr>
                <w:rFonts w:asciiTheme="minorHAnsi" w:hAnsiTheme="minorHAnsi"/>
                <w:sz w:val="22"/>
                <w:szCs w:val="22"/>
              </w:rPr>
            </w:pPr>
            <w:r w:rsidRPr="008F3715">
              <w:rPr>
                <w:rFonts w:asciiTheme="minorHAnsi" w:hAnsiTheme="minorHAnsi"/>
                <w:sz w:val="22"/>
                <w:szCs w:val="22"/>
              </w:rPr>
              <w:t xml:space="preserve">(19) Adottata nel dicembre 2014 mantenendo l'indirizzo di riforme precedenti, una legge delega di ampia portata per la </w:t>
            </w:r>
            <w:r w:rsidRPr="007360F8">
              <w:rPr>
                <w:rFonts w:asciiTheme="minorHAnsi" w:hAnsiTheme="minorHAnsi"/>
                <w:b/>
                <w:sz w:val="22"/>
                <w:szCs w:val="22"/>
              </w:rPr>
              <w:t xml:space="preserve">riforma del </w:t>
            </w:r>
            <w:r w:rsidRPr="007360F8">
              <w:rPr>
                <w:rFonts w:asciiTheme="minorHAnsi" w:hAnsiTheme="minorHAnsi"/>
                <w:b/>
                <w:sz w:val="22"/>
                <w:szCs w:val="22"/>
              </w:rPr>
              <w:lastRenderedPageBreak/>
              <w:t>mercato del lavoro, il cosiddetto "Jobs Act",</w:t>
            </w:r>
            <w:r w:rsidRPr="008F3715">
              <w:rPr>
                <w:rFonts w:asciiTheme="minorHAnsi" w:hAnsiTheme="minorHAnsi"/>
                <w:sz w:val="22"/>
                <w:szCs w:val="22"/>
              </w:rPr>
              <w:t xml:space="preserve"> ha introdotto, in particolare, modifiche della normativa sulla tutela dell'occupazione, del sistema dell'indennità di disoccupazione, oltre che della governance e del funzionamento delle politiche attive e passive del mercato del lavoro e della conciliazione tra famiglia e lavoro. L'effettiva attuazione di questa legge sarà strettamente legata </w:t>
            </w:r>
            <w:r w:rsidRPr="007360F8">
              <w:rPr>
                <w:rFonts w:asciiTheme="minorHAnsi" w:hAnsiTheme="minorHAnsi"/>
                <w:b/>
                <w:sz w:val="22"/>
                <w:szCs w:val="22"/>
              </w:rPr>
              <w:t xml:space="preserve">all'adozione dei necessari decreti legislativi attuativi </w:t>
            </w:r>
            <w:r w:rsidRPr="008F3715">
              <w:rPr>
                <w:rFonts w:asciiTheme="minorHAnsi" w:hAnsiTheme="minorHAnsi"/>
                <w:sz w:val="22"/>
                <w:szCs w:val="22"/>
              </w:rPr>
              <w:t xml:space="preserve">riguardanti il ricorso alla cassa integrazione guadagni, la revisione degli strumenti contrattuali, l'equilibrio tra attività professionale e vita privata e il rafforzamento delle politiche attive del mercato del lavoro. La contrattazione di secondo livello, che potrebbe contribuire a un miglior allineamento dei salari alla produttività e incentivare l'adozione di soluzioni innovative nelle aziende, è ancora appannaggio soltanto di una minoranza di imprese. L'accordo di gennaio 2014, che fissa le procedure per la misurazione della rappresentanza sindacale nel settore manifatturiero, potrebbe contribuire a promuovere la contrattazione di secondo livello, ma non è ancora operativo. La </w:t>
            </w:r>
            <w:r w:rsidRPr="007360F8">
              <w:rPr>
                <w:rFonts w:asciiTheme="minorHAnsi" w:hAnsiTheme="minorHAnsi"/>
                <w:b/>
                <w:sz w:val="22"/>
                <w:szCs w:val="22"/>
              </w:rPr>
              <w:t>partecipazione delle donne al mercato del lavoro</w:t>
            </w:r>
            <w:r w:rsidRPr="008F3715">
              <w:rPr>
                <w:rFonts w:asciiTheme="minorHAnsi" w:hAnsiTheme="minorHAnsi"/>
                <w:sz w:val="22"/>
                <w:szCs w:val="22"/>
              </w:rPr>
              <w:t xml:space="preserve">, sebbene in crescita, rimane tra le più basse dell'UE. La </w:t>
            </w:r>
            <w:r w:rsidRPr="007360F8">
              <w:rPr>
                <w:rFonts w:asciiTheme="minorHAnsi" w:hAnsiTheme="minorHAnsi"/>
                <w:b/>
                <w:sz w:val="22"/>
                <w:szCs w:val="22"/>
              </w:rPr>
              <w:t>disoccupazione giovanile</w:t>
            </w:r>
            <w:r w:rsidRPr="008F3715">
              <w:rPr>
                <w:rFonts w:asciiTheme="minorHAnsi" w:hAnsiTheme="minorHAnsi"/>
                <w:sz w:val="22"/>
                <w:szCs w:val="22"/>
              </w:rPr>
              <w:t>, inoltre, ha quasi raggiunto il 43% nel terzo trimestre del 2014, e la percentuale di giovani tra i 15 e i 24 anni che non lavorano né sono impegnati in corsi di studio o di formazione è la più elevata dell'U</w:t>
            </w:r>
            <w:r w:rsidR="003D300B">
              <w:rPr>
                <w:rFonts w:asciiTheme="minorHAnsi" w:hAnsiTheme="minorHAnsi"/>
                <w:sz w:val="22"/>
                <w:szCs w:val="22"/>
              </w:rPr>
              <w:t>nione</w:t>
            </w:r>
            <w:r w:rsidRPr="008F3715">
              <w:rPr>
                <w:rFonts w:asciiTheme="minorHAnsi" w:hAnsiTheme="minorHAnsi"/>
                <w:sz w:val="22"/>
                <w:szCs w:val="22"/>
              </w:rPr>
              <w:t xml:space="preserve">. Alcune delle cause sono da ricercare nel sistema dell'istruzione, ancora caratterizzato da risultati scolastici inferiori alla media dell'UE e da </w:t>
            </w:r>
            <w:r w:rsidRPr="007360F8">
              <w:rPr>
                <w:rFonts w:asciiTheme="minorHAnsi" w:hAnsiTheme="minorHAnsi"/>
                <w:b/>
                <w:sz w:val="22"/>
                <w:szCs w:val="22"/>
              </w:rPr>
              <w:t>tassi di abbandono scolastico relativamente elevati</w:t>
            </w:r>
            <w:r w:rsidRPr="008F3715">
              <w:rPr>
                <w:rFonts w:asciiTheme="minorHAnsi" w:hAnsiTheme="minorHAnsi"/>
                <w:sz w:val="22"/>
                <w:szCs w:val="22"/>
              </w:rPr>
              <w:t>. A fronte di una media UE del 78,6%, risultava occupato soltanto il 54,6% delle persone di età compresa tra 15 e 34 anni che hanno concluso la prima e la seconda fase dell'istruzione terziaria nei tre anni precedenti. L'Italia ha registrato uno degli aumenti più elevati dei tassi di povertà</w:t>
            </w:r>
            <w:r w:rsidR="003D300B">
              <w:rPr>
                <w:rFonts w:asciiTheme="minorHAnsi" w:hAnsiTheme="minorHAnsi"/>
                <w:sz w:val="22"/>
                <w:szCs w:val="22"/>
              </w:rPr>
              <w:t xml:space="preserve"> e di esclusione sociale nell'Unione</w:t>
            </w:r>
            <w:r w:rsidRPr="008F3715">
              <w:rPr>
                <w:rFonts w:asciiTheme="minorHAnsi" w:hAnsiTheme="minorHAnsi"/>
                <w:sz w:val="22"/>
                <w:szCs w:val="22"/>
              </w:rPr>
              <w:t xml:space="preserve">, con ripercussioni soprattutto sui minori. I </w:t>
            </w:r>
            <w:r w:rsidRPr="007360F8">
              <w:rPr>
                <w:rFonts w:asciiTheme="minorHAnsi" w:hAnsiTheme="minorHAnsi"/>
                <w:b/>
                <w:sz w:val="22"/>
                <w:szCs w:val="22"/>
              </w:rPr>
              <w:t>regimi di assistenza sociale continuano ad essere frammentati e inefficaci</w:t>
            </w:r>
            <w:r w:rsidRPr="008F3715">
              <w:rPr>
                <w:rFonts w:asciiTheme="minorHAnsi" w:hAnsiTheme="minorHAnsi"/>
                <w:sz w:val="22"/>
                <w:szCs w:val="22"/>
              </w:rPr>
              <w:t xml:space="preserve"> nell'affrontare questo problema, con conseguenti inefficienze sostanziali sotto il profilo dei costi. </w:t>
            </w:r>
          </w:p>
        </w:tc>
        <w:tc>
          <w:tcPr>
            <w:tcW w:w="3828" w:type="dxa"/>
          </w:tcPr>
          <w:p w:rsidR="00674FE5" w:rsidRPr="008F3715" w:rsidRDefault="00674FE5" w:rsidP="00F8208B">
            <w:pPr>
              <w:pStyle w:val="Default"/>
              <w:jc w:val="both"/>
              <w:rPr>
                <w:rFonts w:asciiTheme="minorHAnsi" w:hAnsiTheme="minorHAnsi"/>
                <w:sz w:val="22"/>
                <w:szCs w:val="22"/>
              </w:rPr>
            </w:pPr>
            <w:r w:rsidRPr="00DB1FBB">
              <w:rPr>
                <w:rFonts w:asciiTheme="minorHAnsi" w:hAnsiTheme="minorHAnsi"/>
                <w:b/>
                <w:sz w:val="28"/>
                <w:szCs w:val="28"/>
              </w:rPr>
              <w:lastRenderedPageBreak/>
              <w:t>5.</w:t>
            </w:r>
            <w:r w:rsidRPr="008F3715">
              <w:rPr>
                <w:rFonts w:asciiTheme="minorHAnsi" w:hAnsiTheme="minorHAnsi"/>
                <w:sz w:val="22"/>
                <w:szCs w:val="22"/>
              </w:rPr>
              <w:t xml:space="preserve"> adottare i </w:t>
            </w:r>
            <w:r w:rsidRPr="003D300B">
              <w:rPr>
                <w:rFonts w:asciiTheme="minorHAnsi" w:hAnsiTheme="minorHAnsi"/>
                <w:b/>
                <w:sz w:val="22"/>
                <w:szCs w:val="22"/>
              </w:rPr>
              <w:t>decreti legislativi</w:t>
            </w:r>
            <w:r w:rsidRPr="008F3715">
              <w:rPr>
                <w:rFonts w:asciiTheme="minorHAnsi" w:hAnsiTheme="minorHAnsi"/>
                <w:sz w:val="22"/>
                <w:szCs w:val="22"/>
              </w:rPr>
              <w:t xml:space="preserve"> riguardanti</w:t>
            </w:r>
            <w:r w:rsidR="003D300B">
              <w:rPr>
                <w:rFonts w:asciiTheme="minorHAnsi" w:hAnsiTheme="minorHAnsi"/>
                <w:sz w:val="22"/>
                <w:szCs w:val="22"/>
              </w:rPr>
              <w:t xml:space="preserve"> la configurazione e </w:t>
            </w:r>
            <w:r w:rsidRPr="008F3715">
              <w:rPr>
                <w:rFonts w:asciiTheme="minorHAnsi" w:hAnsiTheme="minorHAnsi"/>
                <w:sz w:val="22"/>
                <w:szCs w:val="22"/>
              </w:rPr>
              <w:t xml:space="preserve"> il ricorso </w:t>
            </w:r>
            <w:r w:rsidRPr="008F3715">
              <w:rPr>
                <w:rFonts w:asciiTheme="minorHAnsi" w:hAnsiTheme="minorHAnsi"/>
                <w:sz w:val="22"/>
                <w:szCs w:val="22"/>
              </w:rPr>
              <w:lastRenderedPageBreak/>
              <w:t xml:space="preserve">alla cassa integrazione guadagni, la revisione degli strumenti contrattuali, l'equilibrio tra attività professionale e vita privata e il rafforzamento delle politiche attive del mercato del lavoro; </w:t>
            </w:r>
            <w:r w:rsidR="00D549A7" w:rsidRPr="003D300B">
              <w:rPr>
                <w:rFonts w:asciiTheme="minorHAnsi" w:hAnsiTheme="minorHAnsi"/>
                <w:color w:val="auto"/>
                <w:sz w:val="22"/>
                <w:szCs w:val="22"/>
              </w:rPr>
              <w:t>promuovere</w:t>
            </w:r>
            <w:r w:rsidR="003D300B" w:rsidRPr="003D300B">
              <w:rPr>
                <w:rFonts w:asciiTheme="minorHAnsi" w:hAnsiTheme="minorHAnsi"/>
                <w:color w:val="auto"/>
                <w:sz w:val="22"/>
                <w:szCs w:val="22"/>
              </w:rPr>
              <w:t>,</w:t>
            </w:r>
            <w:r w:rsidR="00D549A7" w:rsidRPr="003D300B">
              <w:rPr>
                <w:rFonts w:asciiTheme="minorHAnsi" w:hAnsiTheme="minorHAnsi"/>
                <w:color w:val="FF0000"/>
                <w:sz w:val="22"/>
                <w:szCs w:val="22"/>
              </w:rPr>
              <w:t xml:space="preserve"> </w:t>
            </w:r>
            <w:r w:rsidRPr="003D300B">
              <w:rPr>
                <w:rFonts w:asciiTheme="minorHAnsi" w:hAnsiTheme="minorHAnsi"/>
                <w:sz w:val="22"/>
                <w:szCs w:val="22"/>
              </w:rPr>
              <w:t>di concerto con le parti sociali e</w:t>
            </w:r>
            <w:r w:rsidRPr="008F3715">
              <w:rPr>
                <w:rFonts w:asciiTheme="minorHAnsi" w:hAnsiTheme="minorHAnsi"/>
                <w:sz w:val="22"/>
                <w:szCs w:val="22"/>
              </w:rPr>
              <w:t xml:space="preserve"> </w:t>
            </w:r>
            <w:r w:rsidR="003D300B">
              <w:rPr>
                <w:rFonts w:asciiTheme="minorHAnsi" w:hAnsiTheme="minorHAnsi"/>
                <w:sz w:val="22"/>
                <w:szCs w:val="22"/>
              </w:rPr>
              <w:t xml:space="preserve">conformemente </w:t>
            </w:r>
            <w:r w:rsidRPr="008F3715">
              <w:rPr>
                <w:rFonts w:asciiTheme="minorHAnsi" w:hAnsiTheme="minorHAnsi"/>
                <w:sz w:val="22"/>
                <w:szCs w:val="22"/>
              </w:rPr>
              <w:t>alle pra</w:t>
            </w:r>
            <w:r w:rsidR="003D300B">
              <w:rPr>
                <w:rFonts w:asciiTheme="minorHAnsi" w:hAnsiTheme="minorHAnsi"/>
                <w:sz w:val="22"/>
                <w:szCs w:val="22"/>
              </w:rPr>
              <w:t>ssi</w:t>
            </w:r>
            <w:r w:rsidRPr="008F3715">
              <w:rPr>
                <w:rFonts w:asciiTheme="minorHAnsi" w:hAnsiTheme="minorHAnsi"/>
                <w:sz w:val="22"/>
                <w:szCs w:val="22"/>
              </w:rPr>
              <w:t xml:space="preserve"> nazionali, un quadro efficace per la contrattazione di secondo livello; nell'ambito degli sforzi per ovviare alla disoccupazione giovanile, </w:t>
            </w:r>
            <w:r w:rsidRPr="003D300B">
              <w:rPr>
                <w:rFonts w:asciiTheme="minorHAnsi" w:hAnsiTheme="minorHAnsi"/>
                <w:b/>
                <w:sz w:val="22"/>
                <w:szCs w:val="22"/>
              </w:rPr>
              <w:t>adottare e attuare la prevista riforma della scuola</w:t>
            </w:r>
            <w:r w:rsidRPr="008F3715">
              <w:rPr>
                <w:rFonts w:asciiTheme="minorHAnsi" w:hAnsiTheme="minorHAnsi"/>
                <w:sz w:val="22"/>
                <w:szCs w:val="22"/>
              </w:rPr>
              <w:t xml:space="preserve"> e ampliare l'istruzione terziaria professionalizzante; </w:t>
            </w:r>
          </w:p>
          <w:p w:rsidR="00674FE5" w:rsidRPr="008F3715" w:rsidRDefault="00674FE5" w:rsidP="00724AF0">
            <w:pPr>
              <w:jc w:val="both"/>
            </w:pPr>
          </w:p>
        </w:tc>
        <w:tc>
          <w:tcPr>
            <w:tcW w:w="2268" w:type="dxa"/>
          </w:tcPr>
          <w:p w:rsidR="00674FE5" w:rsidRPr="008F3715" w:rsidRDefault="00674FE5" w:rsidP="007D5567">
            <w:pPr>
              <w:rPr>
                <w:b/>
              </w:rPr>
            </w:pPr>
            <w:r w:rsidRPr="008F3715">
              <w:rPr>
                <w:b/>
              </w:rPr>
              <w:lastRenderedPageBreak/>
              <w:t>Mercato del lavoro:</w:t>
            </w:r>
          </w:p>
          <w:p w:rsidR="00674FE5" w:rsidRPr="008F3715" w:rsidRDefault="00674FE5" w:rsidP="008C65D7">
            <w:pPr>
              <w:pStyle w:val="Paragrafoelenco"/>
              <w:numPr>
                <w:ilvl w:val="0"/>
                <w:numId w:val="4"/>
              </w:numPr>
              <w:ind w:left="176" w:hanging="142"/>
            </w:pPr>
            <w:r>
              <w:lastRenderedPageBreak/>
              <w:t>Decreti attuativi Jobs Act (</w:t>
            </w:r>
            <w:r w:rsidRPr="008F3715">
              <w:t>CIG, revisione strumenti contrattuali, conciliazione vita/lavoro, rafforzamento politiche attive</w:t>
            </w:r>
            <w:r>
              <w:t>)</w:t>
            </w:r>
            <w:r w:rsidRPr="008F3715">
              <w:t>;</w:t>
            </w:r>
          </w:p>
          <w:p w:rsidR="00674FE5" w:rsidRDefault="00674FE5" w:rsidP="008C65D7">
            <w:pPr>
              <w:pStyle w:val="Paragrafoelenco"/>
              <w:numPr>
                <w:ilvl w:val="0"/>
                <w:numId w:val="4"/>
              </w:numPr>
              <w:ind w:left="176" w:hanging="142"/>
            </w:pPr>
            <w:r w:rsidRPr="008F3715">
              <w:t>Contrattazione di secondo livello</w:t>
            </w:r>
          </w:p>
          <w:p w:rsidR="00674FE5" w:rsidRPr="008F3715" w:rsidRDefault="00674FE5" w:rsidP="008C65D7">
            <w:pPr>
              <w:pStyle w:val="Paragrafoelenco"/>
              <w:numPr>
                <w:ilvl w:val="0"/>
                <w:numId w:val="4"/>
              </w:numPr>
              <w:ind w:left="176" w:hanging="142"/>
            </w:pPr>
            <w:r>
              <w:t>Donne e contrasto alla disoccupazione giovanile</w:t>
            </w:r>
          </w:p>
          <w:p w:rsidR="00674FE5" w:rsidRPr="008F3715" w:rsidRDefault="00674FE5" w:rsidP="00B77447">
            <w:pPr>
              <w:pStyle w:val="Paragrafoelenco"/>
              <w:ind w:left="176"/>
            </w:pPr>
          </w:p>
          <w:p w:rsidR="00674FE5" w:rsidRPr="008F3715" w:rsidRDefault="00674FE5" w:rsidP="00B77447">
            <w:pPr>
              <w:ind w:left="34"/>
              <w:rPr>
                <w:b/>
              </w:rPr>
            </w:pPr>
            <w:r w:rsidRPr="008F3715">
              <w:rPr>
                <w:b/>
              </w:rPr>
              <w:t xml:space="preserve">Istruzione </w:t>
            </w:r>
          </w:p>
          <w:p w:rsidR="00674FE5" w:rsidRDefault="00674FE5" w:rsidP="008C65D7">
            <w:pPr>
              <w:pStyle w:val="Paragrafoelenco"/>
              <w:numPr>
                <w:ilvl w:val="0"/>
                <w:numId w:val="4"/>
              </w:numPr>
              <w:ind w:left="176" w:hanging="142"/>
            </w:pPr>
            <w:r w:rsidRPr="008F3715">
              <w:t xml:space="preserve">Riforma della scuola </w:t>
            </w:r>
          </w:p>
          <w:p w:rsidR="00674FE5" w:rsidRPr="008F3715" w:rsidRDefault="00674FE5" w:rsidP="008C65D7">
            <w:pPr>
              <w:pStyle w:val="Paragrafoelenco"/>
              <w:numPr>
                <w:ilvl w:val="0"/>
                <w:numId w:val="4"/>
              </w:numPr>
              <w:ind w:left="176" w:hanging="142"/>
            </w:pPr>
            <w:r>
              <w:t>Abbandono scolastico</w:t>
            </w:r>
          </w:p>
          <w:p w:rsidR="00674FE5" w:rsidRDefault="00674FE5" w:rsidP="00B77447">
            <w:pPr>
              <w:pStyle w:val="Paragrafoelenco"/>
              <w:numPr>
                <w:ilvl w:val="0"/>
                <w:numId w:val="4"/>
              </w:numPr>
              <w:ind w:left="176" w:hanging="142"/>
            </w:pPr>
            <w:r w:rsidRPr="008F3715">
              <w:t>Istruzione terziaria professionalizzante</w:t>
            </w:r>
          </w:p>
          <w:p w:rsidR="00674FE5" w:rsidRPr="008F3715" w:rsidRDefault="00674FE5" w:rsidP="007360F8"/>
        </w:tc>
        <w:tc>
          <w:tcPr>
            <w:tcW w:w="1700" w:type="dxa"/>
          </w:tcPr>
          <w:p w:rsidR="00674FE5" w:rsidRPr="008F3715" w:rsidRDefault="00674FE5" w:rsidP="007D5567">
            <w:pPr>
              <w:rPr>
                <w:b/>
              </w:rPr>
            </w:pPr>
          </w:p>
        </w:tc>
      </w:tr>
      <w:tr w:rsidR="00674FE5" w:rsidTr="00674FE5">
        <w:tc>
          <w:tcPr>
            <w:tcW w:w="6237" w:type="dxa"/>
          </w:tcPr>
          <w:p w:rsidR="00ED57EA" w:rsidRPr="008F3715" w:rsidRDefault="00674FE5" w:rsidP="00573C95">
            <w:pPr>
              <w:pStyle w:val="Default"/>
              <w:jc w:val="both"/>
              <w:rPr>
                <w:rFonts w:asciiTheme="minorHAnsi" w:hAnsiTheme="minorHAnsi"/>
                <w:sz w:val="22"/>
                <w:szCs w:val="22"/>
              </w:rPr>
            </w:pPr>
            <w:r w:rsidRPr="008F3715">
              <w:rPr>
                <w:rFonts w:asciiTheme="minorHAnsi" w:hAnsiTheme="minorHAnsi"/>
                <w:sz w:val="22"/>
                <w:szCs w:val="22"/>
              </w:rPr>
              <w:lastRenderedPageBreak/>
              <w:t xml:space="preserve">(20) Il corretto funzionamento dei mercati dei prodotti e dei servizi è ancora ostacolato da una serie di </w:t>
            </w:r>
            <w:r w:rsidRPr="007360F8">
              <w:rPr>
                <w:rFonts w:asciiTheme="minorHAnsi" w:hAnsiTheme="minorHAnsi"/>
                <w:b/>
                <w:sz w:val="22"/>
                <w:szCs w:val="22"/>
              </w:rPr>
              <w:t>restrizioni alla concorrenza</w:t>
            </w:r>
            <w:r w:rsidRPr="008F3715">
              <w:rPr>
                <w:rFonts w:asciiTheme="minorHAnsi" w:hAnsiTheme="minorHAnsi"/>
                <w:sz w:val="22"/>
                <w:szCs w:val="22"/>
              </w:rPr>
              <w:t>. È all'esame del parlamento nazionale una legge intesa a rimuovere alc</w:t>
            </w:r>
            <w:r w:rsidR="00096BB7">
              <w:rPr>
                <w:rFonts w:asciiTheme="minorHAnsi" w:hAnsiTheme="minorHAnsi"/>
                <w:sz w:val="22"/>
                <w:szCs w:val="22"/>
              </w:rPr>
              <w:t xml:space="preserve">uni ostacoli in </w:t>
            </w:r>
            <w:r w:rsidR="00096BB7" w:rsidRPr="00096BB7">
              <w:rPr>
                <w:rFonts w:asciiTheme="minorHAnsi" w:hAnsiTheme="minorHAnsi"/>
                <w:sz w:val="22"/>
                <w:szCs w:val="22"/>
              </w:rPr>
              <w:t xml:space="preserve">diversi settori. </w:t>
            </w:r>
            <w:r w:rsidR="00096BB7" w:rsidRPr="00573C95">
              <w:rPr>
                <w:rFonts w:asciiTheme="minorHAnsi" w:hAnsiTheme="minorHAnsi"/>
                <w:color w:val="222222"/>
                <w:sz w:val="22"/>
                <w:szCs w:val="22"/>
              </w:rPr>
              <w:t xml:space="preserve">Permangono </w:t>
            </w:r>
            <w:r w:rsidR="00096BB7" w:rsidRPr="00573C95">
              <w:rPr>
                <w:rFonts w:asciiTheme="minorHAnsi" w:hAnsiTheme="minorHAnsi"/>
                <w:b/>
                <w:color w:val="222222"/>
                <w:sz w:val="22"/>
                <w:szCs w:val="22"/>
              </w:rPr>
              <w:t xml:space="preserve">ostacoli </w:t>
            </w:r>
            <w:r w:rsidR="00A67F02" w:rsidRPr="00573C95">
              <w:rPr>
                <w:rFonts w:asciiTheme="minorHAnsi" w:hAnsiTheme="minorHAnsi"/>
                <w:b/>
                <w:color w:val="222222"/>
                <w:sz w:val="22"/>
                <w:szCs w:val="22"/>
              </w:rPr>
              <w:t>rilevanti</w:t>
            </w:r>
            <w:r w:rsidR="00A67F02" w:rsidRPr="00573C95">
              <w:rPr>
                <w:rFonts w:asciiTheme="minorHAnsi" w:hAnsiTheme="minorHAnsi"/>
                <w:color w:val="222222"/>
                <w:sz w:val="22"/>
                <w:szCs w:val="22"/>
              </w:rPr>
              <w:t xml:space="preserve"> </w:t>
            </w:r>
            <w:r w:rsidR="00096BB7" w:rsidRPr="00573C95">
              <w:rPr>
                <w:rFonts w:asciiTheme="minorHAnsi" w:hAnsiTheme="minorHAnsi"/>
                <w:color w:val="222222"/>
                <w:sz w:val="22"/>
                <w:szCs w:val="22"/>
              </w:rPr>
              <w:t xml:space="preserve">in </w:t>
            </w:r>
            <w:r w:rsidR="00A67F02" w:rsidRPr="00573C95">
              <w:rPr>
                <w:rFonts w:asciiTheme="minorHAnsi" w:hAnsiTheme="minorHAnsi"/>
                <w:color w:val="222222"/>
                <w:sz w:val="22"/>
                <w:szCs w:val="22"/>
              </w:rPr>
              <w:t>taluni</w:t>
            </w:r>
            <w:r w:rsidR="00096BB7" w:rsidRPr="00573C95">
              <w:rPr>
                <w:rFonts w:asciiTheme="minorHAnsi" w:hAnsiTheme="minorHAnsi"/>
                <w:color w:val="222222"/>
                <w:sz w:val="22"/>
                <w:szCs w:val="22"/>
              </w:rPr>
              <w:t xml:space="preserve"> settori </w:t>
            </w:r>
            <w:r w:rsidR="00573C95" w:rsidRPr="00573C95">
              <w:rPr>
                <w:rFonts w:asciiTheme="minorHAnsi" w:hAnsiTheme="minorHAnsi"/>
                <w:color w:val="222222"/>
                <w:sz w:val="22"/>
                <w:szCs w:val="22"/>
              </w:rPr>
              <w:t>nell’ambito di applicazione de</w:t>
            </w:r>
            <w:r w:rsidR="00096BB7" w:rsidRPr="00573C95">
              <w:rPr>
                <w:rFonts w:asciiTheme="minorHAnsi" w:hAnsiTheme="minorHAnsi"/>
                <w:color w:val="222222"/>
                <w:sz w:val="22"/>
                <w:szCs w:val="22"/>
              </w:rPr>
              <w:t>lla legge (</w:t>
            </w:r>
            <w:r w:rsidR="00096BB7" w:rsidRPr="00573C95">
              <w:rPr>
                <w:rFonts w:asciiTheme="minorHAnsi" w:hAnsiTheme="minorHAnsi"/>
                <w:b/>
                <w:color w:val="222222"/>
                <w:sz w:val="22"/>
                <w:szCs w:val="22"/>
              </w:rPr>
              <w:t xml:space="preserve">servizi </w:t>
            </w:r>
            <w:r w:rsidR="00573C95" w:rsidRPr="00573C95">
              <w:rPr>
                <w:rFonts w:asciiTheme="minorHAnsi" w:hAnsiTheme="minorHAnsi"/>
                <w:b/>
                <w:color w:val="222222"/>
                <w:sz w:val="22"/>
                <w:szCs w:val="22"/>
              </w:rPr>
              <w:t>giuridici</w:t>
            </w:r>
            <w:r w:rsidR="00096BB7" w:rsidRPr="00573C95">
              <w:rPr>
                <w:rFonts w:asciiTheme="minorHAnsi" w:hAnsiTheme="minorHAnsi"/>
                <w:b/>
                <w:color w:val="222222"/>
                <w:sz w:val="22"/>
                <w:szCs w:val="22"/>
              </w:rPr>
              <w:t xml:space="preserve"> e farmacie</w:t>
            </w:r>
            <w:r w:rsidR="00096BB7" w:rsidRPr="00573C95">
              <w:rPr>
                <w:rFonts w:asciiTheme="minorHAnsi" w:hAnsiTheme="minorHAnsi"/>
                <w:color w:val="222222"/>
                <w:sz w:val="22"/>
                <w:szCs w:val="22"/>
              </w:rPr>
              <w:t xml:space="preserve">), </w:t>
            </w:r>
            <w:r w:rsidR="00573C95" w:rsidRPr="00573C95">
              <w:rPr>
                <w:rFonts w:asciiTheme="minorHAnsi" w:hAnsiTheme="minorHAnsi"/>
                <w:color w:val="222222"/>
                <w:sz w:val="22"/>
                <w:szCs w:val="22"/>
              </w:rPr>
              <w:t>nonché</w:t>
            </w:r>
            <w:r w:rsidR="00096BB7" w:rsidRPr="00573C95">
              <w:rPr>
                <w:rFonts w:asciiTheme="minorHAnsi" w:hAnsiTheme="minorHAnsi"/>
                <w:color w:val="222222"/>
                <w:sz w:val="22"/>
                <w:szCs w:val="22"/>
              </w:rPr>
              <w:t xml:space="preserve"> in altri settori</w:t>
            </w:r>
            <w:r w:rsidR="00573C95" w:rsidRPr="00573C95">
              <w:rPr>
                <w:rFonts w:asciiTheme="minorHAnsi" w:hAnsiTheme="minorHAnsi"/>
                <w:color w:val="222222"/>
                <w:sz w:val="22"/>
                <w:szCs w:val="22"/>
              </w:rPr>
              <w:t xml:space="preserve"> tra cui</w:t>
            </w:r>
            <w:r w:rsidR="00096BB7" w:rsidRPr="00573C95">
              <w:rPr>
                <w:rFonts w:asciiTheme="minorHAnsi" w:hAnsiTheme="minorHAnsi"/>
                <w:color w:val="222222"/>
                <w:sz w:val="22"/>
                <w:szCs w:val="22"/>
              </w:rPr>
              <w:t xml:space="preserve"> i </w:t>
            </w:r>
            <w:r w:rsidR="00096BB7" w:rsidRPr="00573C95">
              <w:rPr>
                <w:rFonts w:asciiTheme="minorHAnsi" w:hAnsiTheme="minorHAnsi"/>
                <w:b/>
                <w:color w:val="222222"/>
                <w:sz w:val="22"/>
                <w:szCs w:val="22"/>
              </w:rPr>
              <w:t xml:space="preserve">servizi pubblici locali, </w:t>
            </w:r>
            <w:r w:rsidR="00573C95" w:rsidRPr="00573C95">
              <w:rPr>
                <w:rFonts w:asciiTheme="minorHAnsi" w:hAnsiTheme="minorHAnsi"/>
                <w:b/>
                <w:color w:val="222222"/>
                <w:sz w:val="22"/>
                <w:szCs w:val="22"/>
              </w:rPr>
              <w:t>i porti e gli aeroporti</w:t>
            </w:r>
            <w:r w:rsidR="00096BB7" w:rsidRPr="00573C95">
              <w:rPr>
                <w:rFonts w:asciiTheme="minorHAnsi" w:hAnsiTheme="minorHAnsi"/>
                <w:b/>
                <w:color w:val="222222"/>
                <w:sz w:val="22"/>
                <w:szCs w:val="22"/>
              </w:rPr>
              <w:t>, le banche e la sanità</w:t>
            </w:r>
            <w:r w:rsidR="00096BB7" w:rsidRPr="00573C95">
              <w:rPr>
                <w:rFonts w:asciiTheme="minorHAnsi" w:hAnsiTheme="minorHAnsi"/>
                <w:color w:val="222222"/>
                <w:sz w:val="22"/>
                <w:szCs w:val="22"/>
              </w:rPr>
              <w:t>.</w:t>
            </w:r>
            <w:r w:rsidRPr="008F3715">
              <w:rPr>
                <w:rFonts w:asciiTheme="minorHAnsi" w:hAnsiTheme="minorHAnsi"/>
                <w:sz w:val="22"/>
                <w:szCs w:val="22"/>
              </w:rPr>
              <w:t xml:space="preserve"> Il settore degli </w:t>
            </w:r>
            <w:r w:rsidRPr="007360F8">
              <w:rPr>
                <w:rFonts w:asciiTheme="minorHAnsi" w:hAnsiTheme="minorHAnsi"/>
                <w:b/>
                <w:sz w:val="22"/>
                <w:szCs w:val="22"/>
              </w:rPr>
              <w:t>appalti pubblici</w:t>
            </w:r>
            <w:r w:rsidRPr="008F3715">
              <w:rPr>
                <w:rFonts w:asciiTheme="minorHAnsi" w:hAnsiTheme="minorHAnsi"/>
                <w:sz w:val="22"/>
                <w:szCs w:val="22"/>
              </w:rPr>
              <w:t xml:space="preserve"> resta caratterizzato da debolezze significative, nonostante un ricorso più ampio a procedure d'appalto centralizzate. I servizi pubblici locali, che mostrano segni evidenti di inefficienza, restano al riparo dalla concorrenza, con ricadute negative anche sulle finanze pubbliche. La gara aperta è utilizzata per una piccola parte di contratti, mentre la stragrande </w:t>
            </w:r>
            <w:r w:rsidRPr="0041568F">
              <w:rPr>
                <w:rFonts w:asciiTheme="minorHAnsi" w:hAnsiTheme="minorHAnsi"/>
                <w:b/>
                <w:sz w:val="22"/>
                <w:szCs w:val="22"/>
              </w:rPr>
              <w:t>maggioranza dei contratti è assegnata "in-house" o con procedure analoghe</w:t>
            </w:r>
            <w:r w:rsidRPr="008F3715">
              <w:rPr>
                <w:rFonts w:asciiTheme="minorHAnsi" w:hAnsiTheme="minorHAnsi"/>
                <w:sz w:val="22"/>
                <w:szCs w:val="22"/>
              </w:rPr>
              <w:t xml:space="preserve">. </w:t>
            </w:r>
          </w:p>
        </w:tc>
        <w:tc>
          <w:tcPr>
            <w:tcW w:w="3828" w:type="dxa"/>
          </w:tcPr>
          <w:p w:rsidR="00674FE5" w:rsidRPr="008F3715" w:rsidRDefault="00674FE5" w:rsidP="00573C95">
            <w:pPr>
              <w:jc w:val="both"/>
            </w:pPr>
            <w:r w:rsidRPr="00DB1FBB">
              <w:rPr>
                <w:b/>
                <w:sz w:val="28"/>
                <w:szCs w:val="28"/>
              </w:rPr>
              <w:t>6.</w:t>
            </w:r>
            <w:r w:rsidRPr="008F3715">
              <w:t xml:space="preserve"> attuare l'"</w:t>
            </w:r>
            <w:r w:rsidRPr="00573C95">
              <w:rPr>
                <w:b/>
              </w:rPr>
              <w:t>Agenda per la semplificazione 2015-2017</w:t>
            </w:r>
            <w:r w:rsidRPr="008F3715">
              <w:t xml:space="preserve">" al fine di snellire gli oneri amministrativi e normativi; adottare misure finalizzate a </w:t>
            </w:r>
            <w:r w:rsidRPr="00573C95">
              <w:rPr>
                <w:b/>
              </w:rPr>
              <w:t>favorire la concorrenza in tutti i settori</w:t>
            </w:r>
            <w:r w:rsidRPr="008F3715">
              <w:t xml:space="preserve"> contemplati dal diritto della concorrenza e intervenire in modo deciso sulla rimozione degli ostacoli che ancora permangono; </w:t>
            </w:r>
            <w:r w:rsidRPr="00573C95">
              <w:rPr>
                <w:b/>
              </w:rPr>
              <w:t xml:space="preserve">garantire la rettifica </w:t>
            </w:r>
            <w:r w:rsidR="00573C95" w:rsidRPr="00573C95">
              <w:rPr>
                <w:b/>
              </w:rPr>
              <w:t xml:space="preserve">entro la fine del 2015 </w:t>
            </w:r>
            <w:r w:rsidRPr="00573C95">
              <w:rPr>
                <w:b/>
              </w:rPr>
              <w:t>dei contratti di servizi pubblici locali</w:t>
            </w:r>
            <w:r w:rsidRPr="008F3715">
              <w:t xml:space="preserve"> che non ottemperano alle disposizioni sugli affidamenti "in-house"</w:t>
            </w:r>
            <w:r w:rsidR="00573C95">
              <w:t>.</w:t>
            </w:r>
            <w:r w:rsidRPr="008F3715">
              <w:t xml:space="preserve"> </w:t>
            </w:r>
          </w:p>
        </w:tc>
        <w:tc>
          <w:tcPr>
            <w:tcW w:w="2268" w:type="dxa"/>
          </w:tcPr>
          <w:p w:rsidR="00674FE5" w:rsidRPr="008F3715" w:rsidRDefault="00674FE5" w:rsidP="00B77447">
            <w:pPr>
              <w:pStyle w:val="Paragrafoelenco"/>
              <w:numPr>
                <w:ilvl w:val="0"/>
                <w:numId w:val="6"/>
              </w:numPr>
              <w:ind w:left="176" w:hanging="176"/>
            </w:pPr>
            <w:r>
              <w:t xml:space="preserve">Agenda per la </w:t>
            </w:r>
            <w:r w:rsidRPr="008F3715">
              <w:t>Semplificazione</w:t>
            </w:r>
          </w:p>
          <w:p w:rsidR="00674FE5" w:rsidRPr="008F3715" w:rsidRDefault="00674FE5" w:rsidP="00B77447">
            <w:pPr>
              <w:pStyle w:val="Paragrafoelenco"/>
              <w:numPr>
                <w:ilvl w:val="0"/>
                <w:numId w:val="6"/>
              </w:numPr>
              <w:ind w:left="176" w:hanging="176"/>
            </w:pPr>
            <w:r w:rsidRPr="008F3715">
              <w:t>Concorrenza</w:t>
            </w:r>
            <w:r w:rsidR="00573C95">
              <w:t xml:space="preserve"> </w:t>
            </w:r>
          </w:p>
          <w:p w:rsidR="00674FE5" w:rsidRDefault="00674FE5" w:rsidP="007360F8">
            <w:pPr>
              <w:pStyle w:val="Paragrafoelenco"/>
              <w:numPr>
                <w:ilvl w:val="0"/>
                <w:numId w:val="6"/>
              </w:numPr>
              <w:ind w:left="176" w:hanging="176"/>
            </w:pPr>
            <w:r>
              <w:t>S</w:t>
            </w:r>
            <w:r w:rsidRPr="008F3715">
              <w:t xml:space="preserve">ervizi pubblici </w:t>
            </w:r>
            <w:r w:rsidRPr="007360F8">
              <w:t>locali (porti e aeroporti, servizi giuridici, banche, farmacie e sanità)</w:t>
            </w:r>
          </w:p>
          <w:p w:rsidR="005D689E" w:rsidRDefault="005D689E" w:rsidP="007360F8">
            <w:pPr>
              <w:pStyle w:val="Paragrafoelenco"/>
              <w:numPr>
                <w:ilvl w:val="0"/>
                <w:numId w:val="6"/>
              </w:numPr>
              <w:ind w:left="176" w:hanging="176"/>
            </w:pPr>
            <w:r>
              <w:t>Professioni</w:t>
            </w:r>
          </w:p>
          <w:p w:rsidR="00674FE5" w:rsidRPr="008F3715" w:rsidRDefault="00674FE5" w:rsidP="0041568F">
            <w:pPr>
              <w:pStyle w:val="Paragrafoelenco"/>
              <w:numPr>
                <w:ilvl w:val="0"/>
                <w:numId w:val="6"/>
              </w:numPr>
              <w:ind w:left="176" w:hanging="176"/>
            </w:pPr>
            <w:r>
              <w:t>Appalti pubblici (</w:t>
            </w:r>
            <w:r w:rsidRPr="008F3715">
              <w:t>applicazione normativa affidamenti in house)</w:t>
            </w:r>
          </w:p>
        </w:tc>
        <w:tc>
          <w:tcPr>
            <w:tcW w:w="1700" w:type="dxa"/>
          </w:tcPr>
          <w:p w:rsidR="00674FE5" w:rsidRDefault="00573C95" w:rsidP="00674FE5">
            <w:r>
              <w:t>R</w:t>
            </w:r>
            <w:r w:rsidR="00674FE5" w:rsidRPr="008F3715">
              <w:t xml:space="preserve">ettifica dei contratti di servizi pubblici locali che non ottemperano alle disposizioni sugli affidamenti "in-house" </w:t>
            </w:r>
            <w:r w:rsidR="00674FE5" w:rsidRPr="00674FE5">
              <w:rPr>
                <w:b/>
              </w:rPr>
              <w:t>entro la fine del 2015</w:t>
            </w:r>
          </w:p>
        </w:tc>
      </w:tr>
    </w:tbl>
    <w:p w:rsidR="00767C7F" w:rsidRDefault="00767C7F"/>
    <w:sectPr w:rsidR="00767C7F" w:rsidSect="007D5567">
      <w:headerReference w:type="default" r:id="rId8"/>
      <w:footerReference w:type="default" r:id="rId9"/>
      <w:pgSz w:w="16838" w:h="11906"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9E9" w:rsidRDefault="000669E9" w:rsidP="006E7154">
      <w:pPr>
        <w:spacing w:after="0" w:line="240" w:lineRule="auto"/>
      </w:pPr>
      <w:r>
        <w:separator/>
      </w:r>
    </w:p>
  </w:endnote>
  <w:endnote w:type="continuationSeparator" w:id="0">
    <w:p w:rsidR="000669E9" w:rsidRDefault="000669E9" w:rsidP="006E7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154" w:rsidRDefault="006E7154">
    <w:pPr>
      <w:pStyle w:val="Pidipagina"/>
    </w:pPr>
    <w:r>
      <w:t>Re.te. PNR – Tecnos</w:t>
    </w:r>
    <w:r w:rsidR="00FB17D4">
      <w:t>truttura delle Regioni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9E9" w:rsidRDefault="000669E9" w:rsidP="006E7154">
      <w:pPr>
        <w:spacing w:after="0" w:line="240" w:lineRule="auto"/>
      </w:pPr>
      <w:r>
        <w:separator/>
      </w:r>
    </w:p>
  </w:footnote>
  <w:footnote w:type="continuationSeparator" w:id="0">
    <w:p w:rsidR="000669E9" w:rsidRDefault="000669E9" w:rsidP="006E71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832556"/>
      <w:docPartObj>
        <w:docPartGallery w:val="Page Numbers (Margins)"/>
        <w:docPartUnique/>
      </w:docPartObj>
    </w:sdtPr>
    <w:sdtEndPr/>
    <w:sdtContent>
      <w:p w:rsidR="006E7154" w:rsidRDefault="006E7154">
        <w:pPr>
          <w:pStyle w:val="Intestazione"/>
        </w:pPr>
        <w:r>
          <w:rPr>
            <w:noProof/>
            <w:lang w:eastAsia="it-IT"/>
          </w:rPr>
          <mc:AlternateContent>
            <mc:Choice Requires="wps">
              <w:drawing>
                <wp:anchor distT="0" distB="0" distL="114300" distR="114300" simplePos="0" relativeHeight="251659264" behindDoc="0" locked="0" layoutInCell="0" allowOverlap="1">
                  <wp:simplePos x="0" y="0"/>
                  <wp:positionH relativeFrom="rightMargin">
                    <wp:align>right</wp:align>
                  </wp:positionH>
                  <wp:positionV relativeFrom="margin">
                    <wp:align>center</wp:align>
                  </wp:positionV>
                  <wp:extent cx="727710" cy="329565"/>
                  <wp:effectExtent l="0" t="0" r="0" b="381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E7154" w:rsidRDefault="006E7154">
                              <w:pPr>
                                <w:pBdr>
                                  <w:bottom w:val="single" w:sz="4" w:space="1" w:color="auto"/>
                                </w:pBdr>
                              </w:pPr>
                              <w:r>
                                <w:fldChar w:fldCharType="begin"/>
                              </w:r>
                              <w:r>
                                <w:instrText>PAGE   \* MERGEFORMAT</w:instrText>
                              </w:r>
                              <w:r>
                                <w:fldChar w:fldCharType="separate"/>
                              </w:r>
                              <w:r w:rsidR="00B17C9C">
                                <w:rPr>
                                  <w:noProof/>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ttangolo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" o:allowincell="f" stroked="f">
                  <v:textbox>
                    <w:txbxContent>
                      <w:p w:rsidR="006E7154" w:rsidRDefault="006E7154">
                        <w:pPr>
                          <w:pBdr>
                            <w:bottom w:val="single" w:sz="4" w:space="1" w:color="auto"/>
                          </w:pBdr>
                        </w:pPr>
                        <w:r>
                          <w:fldChar w:fldCharType="begin"/>
                        </w:r>
                        <w:r>
                          <w:instrText>PAGE   \* MERGEFORMAT</w:instrText>
                        </w:r>
                        <w:r>
                          <w:fldChar w:fldCharType="separate"/>
                        </w:r>
                        <w:r w:rsidR="00B17C9C">
                          <w:rPr>
                            <w:noProof/>
                          </w:rPr>
                          <w:t>1</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4575F"/>
    <w:multiLevelType w:val="hybridMultilevel"/>
    <w:tmpl w:val="25404F6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10303B69"/>
    <w:multiLevelType w:val="hybridMultilevel"/>
    <w:tmpl w:val="DB9ECA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C5294C"/>
    <w:multiLevelType w:val="hybridMultilevel"/>
    <w:tmpl w:val="1DA828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907"/>
    <w:multiLevelType w:val="hybridMultilevel"/>
    <w:tmpl w:val="0700018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DBE5BEC"/>
    <w:multiLevelType w:val="hybridMultilevel"/>
    <w:tmpl w:val="C21C56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2DD35EF"/>
    <w:multiLevelType w:val="hybridMultilevel"/>
    <w:tmpl w:val="AB36B0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5A847A4"/>
    <w:multiLevelType w:val="hybridMultilevel"/>
    <w:tmpl w:val="29A61C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3FD38E3"/>
    <w:multiLevelType w:val="hybridMultilevel"/>
    <w:tmpl w:val="3CC6DF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3"/>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567"/>
    <w:rsid w:val="00063852"/>
    <w:rsid w:val="000669E9"/>
    <w:rsid w:val="00096BB7"/>
    <w:rsid w:val="000D4779"/>
    <w:rsid w:val="001005FF"/>
    <w:rsid w:val="00112394"/>
    <w:rsid w:val="001343E8"/>
    <w:rsid w:val="001407D5"/>
    <w:rsid w:val="0017258A"/>
    <w:rsid w:val="001A6933"/>
    <w:rsid w:val="002178BF"/>
    <w:rsid w:val="002E3919"/>
    <w:rsid w:val="003C7503"/>
    <w:rsid w:val="003D300B"/>
    <w:rsid w:val="00411FEB"/>
    <w:rsid w:val="00413B03"/>
    <w:rsid w:val="0041568F"/>
    <w:rsid w:val="004449A9"/>
    <w:rsid w:val="0046157D"/>
    <w:rsid w:val="004A3ED5"/>
    <w:rsid w:val="004B4C01"/>
    <w:rsid w:val="004D26FF"/>
    <w:rsid w:val="004D56F6"/>
    <w:rsid w:val="00506F32"/>
    <w:rsid w:val="00521CA9"/>
    <w:rsid w:val="0055092F"/>
    <w:rsid w:val="00573C95"/>
    <w:rsid w:val="00574EA9"/>
    <w:rsid w:val="005D689E"/>
    <w:rsid w:val="005E6AB1"/>
    <w:rsid w:val="005F7ACF"/>
    <w:rsid w:val="00634B1A"/>
    <w:rsid w:val="00674FE5"/>
    <w:rsid w:val="006C00BF"/>
    <w:rsid w:val="006E58F5"/>
    <w:rsid w:val="006E7154"/>
    <w:rsid w:val="00703EC8"/>
    <w:rsid w:val="007235AB"/>
    <w:rsid w:val="00724AF0"/>
    <w:rsid w:val="007360F8"/>
    <w:rsid w:val="00746698"/>
    <w:rsid w:val="007579FB"/>
    <w:rsid w:val="007654BF"/>
    <w:rsid w:val="00767C7F"/>
    <w:rsid w:val="007D5567"/>
    <w:rsid w:val="007D7CED"/>
    <w:rsid w:val="007E6CC8"/>
    <w:rsid w:val="00816378"/>
    <w:rsid w:val="00825E1C"/>
    <w:rsid w:val="008653BA"/>
    <w:rsid w:val="008C65D7"/>
    <w:rsid w:val="008F3715"/>
    <w:rsid w:val="00903AC0"/>
    <w:rsid w:val="00966F81"/>
    <w:rsid w:val="009C3E4F"/>
    <w:rsid w:val="00A67F02"/>
    <w:rsid w:val="00AD26AA"/>
    <w:rsid w:val="00AF35A3"/>
    <w:rsid w:val="00B17C9C"/>
    <w:rsid w:val="00B61D5A"/>
    <w:rsid w:val="00B77447"/>
    <w:rsid w:val="00BA5EB2"/>
    <w:rsid w:val="00C31BFE"/>
    <w:rsid w:val="00C523C2"/>
    <w:rsid w:val="00D268F6"/>
    <w:rsid w:val="00D549A7"/>
    <w:rsid w:val="00D92094"/>
    <w:rsid w:val="00DB1FBB"/>
    <w:rsid w:val="00E03AFB"/>
    <w:rsid w:val="00E04199"/>
    <w:rsid w:val="00E721E7"/>
    <w:rsid w:val="00ED57EA"/>
    <w:rsid w:val="00F32B2D"/>
    <w:rsid w:val="00F754BE"/>
    <w:rsid w:val="00F8208B"/>
    <w:rsid w:val="00F90BD3"/>
    <w:rsid w:val="00FA5C74"/>
    <w:rsid w:val="00FB17D4"/>
    <w:rsid w:val="00FD49FA"/>
    <w:rsid w:val="00FD4D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D6F21D8-16CF-46E2-88AD-AECD1644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7D5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816378"/>
    <w:pPr>
      <w:ind w:left="720"/>
      <w:contextualSpacing/>
    </w:pPr>
  </w:style>
  <w:style w:type="paragraph" w:styleId="Testofumetto">
    <w:name w:val="Balloon Text"/>
    <w:basedOn w:val="Normale"/>
    <w:link w:val="TestofumettoCarattere"/>
    <w:uiPriority w:val="99"/>
    <w:semiHidden/>
    <w:unhideWhenUsed/>
    <w:rsid w:val="006E715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E7154"/>
    <w:rPr>
      <w:rFonts w:ascii="Segoe UI" w:hAnsi="Segoe UI" w:cs="Segoe UI"/>
      <w:sz w:val="18"/>
      <w:szCs w:val="18"/>
    </w:rPr>
  </w:style>
  <w:style w:type="paragraph" w:styleId="Intestazione">
    <w:name w:val="header"/>
    <w:basedOn w:val="Normale"/>
    <w:link w:val="IntestazioneCarattere"/>
    <w:uiPriority w:val="99"/>
    <w:unhideWhenUsed/>
    <w:rsid w:val="006E715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E7154"/>
  </w:style>
  <w:style w:type="paragraph" w:styleId="Pidipagina">
    <w:name w:val="footer"/>
    <w:basedOn w:val="Normale"/>
    <w:link w:val="PidipaginaCarattere"/>
    <w:uiPriority w:val="99"/>
    <w:unhideWhenUsed/>
    <w:rsid w:val="006E715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E7154"/>
  </w:style>
  <w:style w:type="paragraph" w:customStyle="1" w:styleId="Default">
    <w:name w:val="Default"/>
    <w:rsid w:val="00724AF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020F9-8EE1-4E2F-828A-38CA1322F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2114</Words>
  <Characters>12052</Characters>
  <Application>Microsoft Office Word</Application>
  <DocSecurity>4</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Mariella Bucciarelli</dc:creator>
  <cp:keywords/>
  <dc:description/>
  <cp:lastModifiedBy>Roberta Giangiorgi</cp:lastModifiedBy>
  <cp:revision>2</cp:revision>
  <cp:lastPrinted>2015-05-22T11:20:00Z</cp:lastPrinted>
  <dcterms:created xsi:type="dcterms:W3CDTF">2015-09-14T14:05:00Z</dcterms:created>
  <dcterms:modified xsi:type="dcterms:W3CDTF">2015-09-14T14:05:00Z</dcterms:modified>
</cp:coreProperties>
</file>