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6B0" w:rsidRDefault="001866B0" w:rsidP="001866B0">
      <w:pPr>
        <w:spacing w:after="0" w:line="240" w:lineRule="auto"/>
        <w:jc w:val="both"/>
        <w:rPr>
          <w:bCs/>
        </w:rPr>
      </w:pPr>
    </w:p>
    <w:p w:rsidR="001866B0" w:rsidRDefault="001866B0" w:rsidP="001866B0">
      <w:pPr>
        <w:spacing w:after="0" w:line="240" w:lineRule="auto"/>
        <w:jc w:val="both"/>
        <w:rPr>
          <w:bCs/>
        </w:rPr>
      </w:pPr>
    </w:p>
    <w:p w:rsidR="001866B0" w:rsidRDefault="001866B0" w:rsidP="001866B0">
      <w:pPr>
        <w:spacing w:after="0" w:line="240" w:lineRule="auto"/>
        <w:jc w:val="both"/>
        <w:rPr>
          <w:bCs/>
        </w:rPr>
      </w:pPr>
    </w:p>
    <w:p w:rsidR="001866B0" w:rsidRDefault="001866B0" w:rsidP="001866B0">
      <w:pPr>
        <w:spacing w:after="0" w:line="240" w:lineRule="auto"/>
        <w:jc w:val="both"/>
        <w:rPr>
          <w:bCs/>
        </w:rPr>
      </w:pPr>
    </w:p>
    <w:p w:rsidR="001866B0" w:rsidRDefault="001866B0" w:rsidP="001866B0">
      <w:pPr>
        <w:spacing w:after="0" w:line="240" w:lineRule="auto"/>
        <w:jc w:val="both"/>
        <w:rPr>
          <w:bCs/>
        </w:rPr>
      </w:pPr>
    </w:p>
    <w:p w:rsidR="001866B0" w:rsidRPr="006F2730" w:rsidRDefault="001866B0" w:rsidP="001866B0">
      <w:pPr>
        <w:spacing w:after="0" w:line="240" w:lineRule="auto"/>
        <w:jc w:val="both"/>
        <w:rPr>
          <w:bCs/>
        </w:rPr>
      </w:pPr>
    </w:p>
    <w:p w:rsidR="001866B0" w:rsidRPr="006F273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b/>
          <w:i/>
          <w:sz w:val="26"/>
          <w:szCs w:val="26"/>
        </w:rPr>
      </w:pPr>
      <w:bookmarkStart w:id="0" w:name="_Toc454531060"/>
      <w:bookmarkStart w:id="1" w:name="_Toc449006579"/>
      <w:r w:rsidRPr="006F2730">
        <w:rPr>
          <w:rFonts w:eastAsiaTheme="majorEastAsia" w:cstheme="majorBidi"/>
          <w:sz w:val="26"/>
          <w:szCs w:val="26"/>
        </w:rPr>
        <w:t>Tabella 1</w:t>
      </w:r>
      <w:r w:rsidRPr="006F2730">
        <w:rPr>
          <w:rFonts w:eastAsiaTheme="majorEastAsia" w:cstheme="majorBidi"/>
          <w:b/>
          <w:i/>
          <w:sz w:val="26"/>
          <w:szCs w:val="26"/>
        </w:rPr>
        <w:t xml:space="preserve"> </w:t>
      </w:r>
      <w:r w:rsidRPr="006F2730">
        <w:rPr>
          <w:rFonts w:eastAsiaTheme="majorEastAsia" w:cstheme="majorBidi"/>
          <w:b/>
          <w:i/>
          <w:sz w:val="26"/>
          <w:szCs w:val="26"/>
          <w:vertAlign w:val="superscript"/>
        </w:rPr>
        <w:footnoteReference w:id="1"/>
      </w:r>
      <w:bookmarkEnd w:id="0"/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2547"/>
        <w:gridCol w:w="2410"/>
        <w:gridCol w:w="2409"/>
        <w:gridCol w:w="2410"/>
      </w:tblGrid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jc w:val="center"/>
              <w:rPr>
                <w:rFonts w:cs="Calibri,Bold"/>
                <w:b/>
                <w:bCs/>
                <w:sz w:val="20"/>
              </w:rPr>
            </w:pPr>
            <w:r w:rsidRPr="006F2730">
              <w:rPr>
                <w:rFonts w:cs="Calibri,Bold"/>
                <w:b/>
                <w:bCs/>
                <w:sz w:val="20"/>
              </w:rPr>
              <w:t>Elementi del confronto</w:t>
            </w:r>
          </w:p>
        </w:tc>
        <w:tc>
          <w:tcPr>
            <w:tcW w:w="2410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10" w:hanging="33"/>
              <w:contextualSpacing/>
              <w:jc w:val="center"/>
              <w:rPr>
                <w:rFonts w:cs="Calibri,Bold"/>
                <w:b/>
                <w:bCs/>
                <w:sz w:val="20"/>
              </w:rPr>
            </w:pPr>
            <w:r w:rsidRPr="006F2730">
              <w:rPr>
                <w:rFonts w:cs="Calibri,Bold"/>
                <w:b/>
                <w:bCs/>
                <w:sz w:val="20"/>
              </w:rPr>
              <w:t>FAMI</w:t>
            </w:r>
          </w:p>
        </w:tc>
        <w:tc>
          <w:tcPr>
            <w:tcW w:w="240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45" w:hanging="14"/>
              <w:contextualSpacing/>
              <w:jc w:val="center"/>
              <w:rPr>
                <w:rFonts w:cs="Calibri,Bold"/>
                <w:b/>
                <w:bCs/>
                <w:sz w:val="20"/>
              </w:rPr>
            </w:pPr>
            <w:r w:rsidRPr="006F2730">
              <w:rPr>
                <w:rFonts w:cs="Calibri,Bold"/>
                <w:b/>
                <w:bCs/>
                <w:sz w:val="20"/>
              </w:rPr>
              <w:t>FSE</w:t>
            </w:r>
          </w:p>
        </w:tc>
        <w:tc>
          <w:tcPr>
            <w:tcW w:w="2410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45"/>
              <w:contextualSpacing/>
              <w:jc w:val="both"/>
              <w:rPr>
                <w:rFonts w:cs="Calibri,Bold"/>
                <w:b/>
                <w:bCs/>
                <w:sz w:val="20"/>
              </w:rPr>
            </w:pPr>
            <w:r w:rsidRPr="006F2730">
              <w:rPr>
                <w:rFonts w:cs="Calibri,Bold"/>
                <w:b/>
                <w:bCs/>
                <w:sz w:val="20"/>
              </w:rPr>
              <w:t>FEAD</w:t>
            </w:r>
          </w:p>
        </w:tc>
      </w:tr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rPr>
                <w:sz w:val="20"/>
              </w:rPr>
            </w:pPr>
            <w:r w:rsidRPr="006F2730">
              <w:rPr>
                <w:sz w:val="20"/>
              </w:rPr>
              <w:t>Budget 2014-2020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10" w:hanging="33"/>
              <w:contextualSpacing/>
              <w:rPr>
                <w:sz w:val="20"/>
              </w:rPr>
            </w:pPr>
            <w:r w:rsidRPr="006F2730">
              <w:rPr>
                <w:bCs/>
                <w:sz w:val="20"/>
              </w:rPr>
              <w:t>EUR 3.1 miliardi</w:t>
            </w:r>
          </w:p>
        </w:tc>
        <w:tc>
          <w:tcPr>
            <w:tcW w:w="2409" w:type="dxa"/>
          </w:tcPr>
          <w:p w:rsidR="001866B0" w:rsidRPr="006F2730" w:rsidRDefault="001866B0" w:rsidP="000722BF">
            <w:pPr>
              <w:ind w:left="145" w:hanging="14"/>
              <w:contextualSpacing/>
              <w:rPr>
                <w:sz w:val="20"/>
              </w:rPr>
            </w:pPr>
            <w:r w:rsidRPr="006F2730">
              <w:rPr>
                <w:bCs/>
                <w:sz w:val="20"/>
              </w:rPr>
              <w:t xml:space="preserve">EUR 86.4 miliardi 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45"/>
              <w:contextualSpacing/>
              <w:jc w:val="both"/>
              <w:rPr>
                <w:sz w:val="20"/>
              </w:rPr>
            </w:pPr>
            <w:r w:rsidRPr="006F2730">
              <w:rPr>
                <w:bCs/>
                <w:sz w:val="20"/>
              </w:rPr>
              <w:t>EUR 3.8 miliardi</w:t>
            </w:r>
          </w:p>
        </w:tc>
      </w:tr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rPr>
                <w:i/>
                <w:sz w:val="20"/>
              </w:rPr>
            </w:pPr>
            <w:r w:rsidRPr="006F2730">
              <w:rPr>
                <w:i/>
                <w:sz w:val="20"/>
              </w:rPr>
              <w:t>Dotazione finanziaria a livello nazionale Italia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10" w:hanging="33"/>
              <w:contextualSpacing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EUR 315.355.777</w:t>
            </w:r>
          </w:p>
        </w:tc>
        <w:tc>
          <w:tcPr>
            <w:tcW w:w="2409" w:type="dxa"/>
          </w:tcPr>
          <w:p w:rsidR="001866B0" w:rsidRPr="006F2730" w:rsidRDefault="001866B0" w:rsidP="000722BF">
            <w:pPr>
              <w:ind w:left="145" w:hanging="14"/>
              <w:contextualSpacing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EUR 10.468.389.865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45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EUR 670.592.285</w:t>
            </w:r>
          </w:p>
        </w:tc>
      </w:tr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rPr>
                <w:sz w:val="20"/>
              </w:rPr>
            </w:pPr>
            <w:proofErr w:type="spellStart"/>
            <w:r w:rsidRPr="006F2730">
              <w:rPr>
                <w:sz w:val="20"/>
              </w:rPr>
              <w:t>Mission</w:t>
            </w:r>
            <w:proofErr w:type="spellEnd"/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10" w:hanging="33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 xml:space="preserve">Promozione dell’Integrazione </w:t>
            </w:r>
          </w:p>
          <w:p w:rsidR="001866B0" w:rsidRPr="006F2730" w:rsidRDefault="001866B0" w:rsidP="000722BF">
            <w:pPr>
              <w:ind w:left="110" w:hanging="33"/>
              <w:contextualSpacing/>
              <w:rPr>
                <w:rFonts w:cs="Verdana"/>
                <w:sz w:val="20"/>
              </w:rPr>
            </w:pPr>
          </w:p>
          <w:p w:rsidR="001866B0" w:rsidRPr="006F2730" w:rsidRDefault="001866B0" w:rsidP="000722BF">
            <w:pPr>
              <w:ind w:left="110" w:hanging="33"/>
              <w:contextualSpacing/>
              <w:rPr>
                <w:sz w:val="20"/>
              </w:rPr>
            </w:pPr>
            <w:proofErr w:type="gramStart"/>
            <w:r w:rsidRPr="006F2730">
              <w:rPr>
                <w:rFonts w:cs="Verdana"/>
                <w:sz w:val="20"/>
              </w:rPr>
              <w:t>prospettiva</w:t>
            </w:r>
            <w:proofErr w:type="gramEnd"/>
            <w:r w:rsidRPr="006F2730">
              <w:rPr>
                <w:rFonts w:cs="Verdana"/>
                <w:sz w:val="20"/>
              </w:rPr>
              <w:t xml:space="preserve"> a breve termine</w:t>
            </w:r>
            <w:r w:rsidRPr="006F2730">
              <w:rPr>
                <w:sz w:val="20"/>
              </w:rPr>
              <w:t xml:space="preserve"> </w:t>
            </w:r>
          </w:p>
        </w:tc>
        <w:tc>
          <w:tcPr>
            <w:tcW w:w="2409" w:type="dxa"/>
          </w:tcPr>
          <w:p w:rsidR="001866B0" w:rsidRPr="006F2730" w:rsidRDefault="001866B0" w:rsidP="000722BF">
            <w:pPr>
              <w:ind w:left="145" w:hanging="14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 xml:space="preserve">Migliorare le opportunità di lavoro (e di inclusione sociale) </w:t>
            </w:r>
          </w:p>
          <w:p w:rsidR="001866B0" w:rsidRPr="006F2730" w:rsidRDefault="001866B0" w:rsidP="000722BF">
            <w:pPr>
              <w:ind w:left="145" w:hanging="14"/>
              <w:contextualSpacing/>
              <w:rPr>
                <w:sz w:val="20"/>
              </w:rPr>
            </w:pPr>
            <w:proofErr w:type="gramStart"/>
            <w:r w:rsidRPr="006F2730">
              <w:rPr>
                <w:rFonts w:cs="Verdana"/>
                <w:sz w:val="20"/>
              </w:rPr>
              <w:t>prospettiva</w:t>
            </w:r>
            <w:proofErr w:type="gramEnd"/>
            <w:r w:rsidRPr="006F2730">
              <w:rPr>
                <w:rFonts w:cs="Verdana"/>
                <w:sz w:val="20"/>
              </w:rPr>
              <w:t xml:space="preserve"> a lungo termine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45"/>
              <w:contextualSpacing/>
              <w:jc w:val="both"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Alleviare le peggiori forme di povertà, e di esclusione</w:t>
            </w:r>
          </w:p>
          <w:p w:rsidR="001866B0" w:rsidRPr="006F2730" w:rsidRDefault="001866B0" w:rsidP="000722BF">
            <w:pPr>
              <w:ind w:left="145"/>
              <w:contextualSpacing/>
              <w:jc w:val="both"/>
              <w:rPr>
                <w:sz w:val="20"/>
              </w:rPr>
            </w:pPr>
            <w:proofErr w:type="gramStart"/>
            <w:r w:rsidRPr="006F2730">
              <w:rPr>
                <w:rFonts w:cs="Verdana"/>
                <w:sz w:val="20"/>
              </w:rPr>
              <w:t>prospettiva</w:t>
            </w:r>
            <w:proofErr w:type="gramEnd"/>
            <w:r w:rsidRPr="006F2730">
              <w:rPr>
                <w:rFonts w:cs="Verdana"/>
                <w:sz w:val="20"/>
              </w:rPr>
              <w:t xml:space="preserve"> a breve termine, ad eccezione dell’inclusione sociale</w:t>
            </w:r>
          </w:p>
        </w:tc>
      </w:tr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rPr>
                <w:sz w:val="20"/>
              </w:rPr>
            </w:pPr>
            <w:r w:rsidRPr="006F2730">
              <w:rPr>
                <w:sz w:val="20"/>
              </w:rPr>
              <w:t>Obiettivi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10" w:hanging="33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1.Il rafforzamento del sistema europeo comune di asilo (min. 20%)</w:t>
            </w:r>
          </w:p>
          <w:p w:rsidR="001866B0" w:rsidRPr="006F2730" w:rsidRDefault="001866B0" w:rsidP="000722BF">
            <w:pPr>
              <w:ind w:left="110" w:hanging="33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2. La migrazione legale e l'integrazione</w:t>
            </w:r>
          </w:p>
          <w:p w:rsidR="001866B0" w:rsidRPr="006F2730" w:rsidRDefault="001866B0" w:rsidP="000722BF">
            <w:pPr>
              <w:ind w:left="110" w:hanging="33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3. Le strategie di ritorno</w:t>
            </w:r>
          </w:p>
          <w:p w:rsidR="001866B0" w:rsidRPr="006F2730" w:rsidRDefault="001866B0" w:rsidP="000722BF">
            <w:pPr>
              <w:ind w:left="110" w:hanging="33"/>
              <w:contextualSpacing/>
              <w:rPr>
                <w:sz w:val="20"/>
              </w:rPr>
            </w:pPr>
            <w:r w:rsidRPr="006F2730">
              <w:rPr>
                <w:rFonts w:cs="Verdana"/>
                <w:sz w:val="20"/>
              </w:rPr>
              <w:t>4. Azioni specifiche e assistenza di emergenza</w:t>
            </w:r>
          </w:p>
        </w:tc>
        <w:tc>
          <w:tcPr>
            <w:tcW w:w="2409" w:type="dxa"/>
          </w:tcPr>
          <w:p w:rsidR="001866B0" w:rsidRPr="006F2730" w:rsidRDefault="001866B0" w:rsidP="000722BF">
            <w:pPr>
              <w:ind w:left="145" w:hanging="14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1. L’occupazione sostenibile e di qualità</w:t>
            </w:r>
          </w:p>
          <w:p w:rsidR="001866B0" w:rsidRPr="006F2730" w:rsidRDefault="001866B0" w:rsidP="000722BF">
            <w:pPr>
              <w:ind w:left="145" w:hanging="14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2. L’inclusione sociale (min. 20% per SM)</w:t>
            </w:r>
          </w:p>
          <w:p w:rsidR="001866B0" w:rsidRPr="006F2730" w:rsidRDefault="001866B0" w:rsidP="000722BF">
            <w:pPr>
              <w:ind w:left="145" w:hanging="14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3. L’istruzione e la formazione</w:t>
            </w:r>
          </w:p>
          <w:p w:rsidR="001866B0" w:rsidRPr="006F2730" w:rsidRDefault="001866B0" w:rsidP="000722BF">
            <w:pPr>
              <w:ind w:left="145" w:hanging="14"/>
              <w:contextualSpacing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 xml:space="preserve">4. La capacità istituzionale </w:t>
            </w:r>
          </w:p>
          <w:p w:rsidR="001866B0" w:rsidRPr="006F2730" w:rsidRDefault="001866B0" w:rsidP="000722BF">
            <w:pPr>
              <w:ind w:left="145" w:hanging="14"/>
              <w:contextualSpacing/>
              <w:rPr>
                <w:sz w:val="20"/>
              </w:rPr>
            </w:pP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45"/>
              <w:contextualSpacing/>
              <w:jc w:val="both"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1. Il cibo o l’assistenza materiale di base</w:t>
            </w:r>
          </w:p>
          <w:p w:rsidR="001866B0" w:rsidRPr="006F2730" w:rsidRDefault="001866B0" w:rsidP="000722BF">
            <w:pPr>
              <w:ind w:left="145"/>
              <w:contextualSpacing/>
              <w:jc w:val="both"/>
              <w:rPr>
                <w:sz w:val="20"/>
              </w:rPr>
            </w:pPr>
            <w:r w:rsidRPr="006F2730">
              <w:rPr>
                <w:rFonts w:cs="Verdana"/>
                <w:sz w:val="20"/>
              </w:rPr>
              <w:t>2. L’inclusione sociale al di fuori delle misure attive per il lavoro</w:t>
            </w:r>
          </w:p>
        </w:tc>
      </w:tr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rPr>
                <w:sz w:val="20"/>
              </w:rPr>
            </w:pPr>
            <w:proofErr w:type="spellStart"/>
            <w:r w:rsidRPr="006F2730">
              <w:rPr>
                <w:sz w:val="20"/>
              </w:rPr>
              <w:t>Timeline</w:t>
            </w:r>
            <w:proofErr w:type="spellEnd"/>
            <w:r w:rsidRPr="006F2730">
              <w:rPr>
                <w:sz w:val="20"/>
              </w:rPr>
              <w:t xml:space="preserve"> di riferimento per l’ammissibilità delle spese 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10" w:hanging="33"/>
              <w:contextualSpacing/>
              <w:rPr>
                <w:sz w:val="20"/>
              </w:rPr>
            </w:pPr>
            <w:r w:rsidRPr="006F2730">
              <w:rPr>
                <w:sz w:val="20"/>
              </w:rPr>
              <w:t xml:space="preserve">Dopo l’arrivo </w:t>
            </w:r>
          </w:p>
        </w:tc>
        <w:tc>
          <w:tcPr>
            <w:tcW w:w="2409" w:type="dxa"/>
          </w:tcPr>
          <w:p w:rsidR="001866B0" w:rsidRPr="006F2730" w:rsidRDefault="001866B0" w:rsidP="000722BF">
            <w:pPr>
              <w:ind w:left="145" w:hanging="14"/>
              <w:contextualSpacing/>
              <w:jc w:val="both"/>
              <w:rPr>
                <w:sz w:val="20"/>
              </w:rPr>
            </w:pPr>
            <w:r w:rsidRPr="006F2730">
              <w:rPr>
                <w:sz w:val="20"/>
              </w:rPr>
              <w:t>Ammissibili dopo l'accesso legale al mercato del lavoro (Eccezione: la formazione professionale, l’educazione/istruzione dei bambini - possibile dopo l’arrivo, a seconda delle condizioni nazionali)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45"/>
              <w:contextualSpacing/>
              <w:jc w:val="both"/>
              <w:rPr>
                <w:rFonts w:cs="Verdana"/>
                <w:sz w:val="20"/>
              </w:rPr>
            </w:pPr>
            <w:r w:rsidRPr="006F2730">
              <w:rPr>
                <w:rFonts w:cs="Verdana"/>
                <w:sz w:val="20"/>
              </w:rPr>
              <w:t>Alimenti/assistenza materiale dopo l'arrivo</w:t>
            </w:r>
          </w:p>
          <w:p w:rsidR="001866B0" w:rsidRPr="006F2730" w:rsidRDefault="001866B0" w:rsidP="000722BF">
            <w:pPr>
              <w:ind w:left="145"/>
              <w:contextualSpacing/>
              <w:jc w:val="both"/>
              <w:rPr>
                <w:sz w:val="20"/>
              </w:rPr>
            </w:pPr>
            <w:r w:rsidRPr="006F2730">
              <w:rPr>
                <w:rFonts w:cs="Verdana"/>
                <w:sz w:val="20"/>
              </w:rPr>
              <w:t>Inclusione sociale dopo domanda</w:t>
            </w:r>
          </w:p>
        </w:tc>
      </w:tr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rPr>
                <w:sz w:val="20"/>
              </w:rPr>
            </w:pPr>
            <w:r w:rsidRPr="006F2730">
              <w:rPr>
                <w:sz w:val="20"/>
              </w:rPr>
              <w:t xml:space="preserve">Target </w:t>
            </w:r>
            <w:proofErr w:type="spellStart"/>
            <w:r w:rsidRPr="006F2730">
              <w:rPr>
                <w:sz w:val="20"/>
              </w:rPr>
              <w:t>group</w:t>
            </w:r>
            <w:proofErr w:type="spellEnd"/>
            <w:r w:rsidRPr="006F2730">
              <w:rPr>
                <w:sz w:val="20"/>
              </w:rPr>
              <w:t xml:space="preserve">(s) 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10" w:hanging="33"/>
              <w:contextualSpacing/>
              <w:rPr>
                <w:sz w:val="20"/>
              </w:rPr>
            </w:pPr>
            <w:r w:rsidRPr="006F2730">
              <w:rPr>
                <w:sz w:val="20"/>
              </w:rPr>
              <w:t>Cittadini di Paesi terzi, tra cui i richiedenti asilo, dopo l'arrivo in Europa e prima della domanda</w:t>
            </w:r>
          </w:p>
        </w:tc>
        <w:tc>
          <w:tcPr>
            <w:tcW w:w="2409" w:type="dxa"/>
          </w:tcPr>
          <w:p w:rsidR="001866B0" w:rsidRPr="006F2730" w:rsidRDefault="001866B0" w:rsidP="000722BF">
            <w:pPr>
              <w:ind w:left="145" w:hanging="14"/>
              <w:contextualSpacing/>
              <w:rPr>
                <w:sz w:val="20"/>
              </w:rPr>
            </w:pPr>
            <w:r w:rsidRPr="006F2730">
              <w:rPr>
                <w:sz w:val="20"/>
              </w:rPr>
              <w:t xml:space="preserve">Cittadini dell’UE e dei Paesi terzi </w:t>
            </w:r>
            <w:r w:rsidRPr="006F2730">
              <w:rPr>
                <w:bCs/>
                <w:sz w:val="20"/>
              </w:rPr>
              <w:t>aventi diritto all’accesso al mercato del lavoro</w:t>
            </w:r>
          </w:p>
        </w:tc>
        <w:tc>
          <w:tcPr>
            <w:tcW w:w="2410" w:type="dxa"/>
          </w:tcPr>
          <w:p w:rsidR="001866B0" w:rsidRPr="006F2730" w:rsidRDefault="001866B0" w:rsidP="000722BF">
            <w:pPr>
              <w:ind w:left="145"/>
              <w:contextualSpacing/>
              <w:jc w:val="both"/>
              <w:rPr>
                <w:sz w:val="20"/>
              </w:rPr>
            </w:pPr>
            <w:r w:rsidRPr="006F2730">
              <w:rPr>
                <w:sz w:val="20"/>
              </w:rPr>
              <w:t>I più svantaggiati, da definire a livello di Stato membro</w:t>
            </w:r>
          </w:p>
        </w:tc>
      </w:tr>
    </w:tbl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  <w:bookmarkStart w:id="2" w:name="_Toc454531061"/>
    </w:p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</w:p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</w:p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  <w:bookmarkStart w:id="3" w:name="_GoBack"/>
      <w:bookmarkEnd w:id="3"/>
    </w:p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</w:p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</w:p>
    <w:p w:rsidR="001866B0" w:rsidRPr="006F273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  <w:r w:rsidRPr="006F2730">
        <w:rPr>
          <w:rFonts w:eastAsiaTheme="majorEastAsia" w:cstheme="majorBidi"/>
          <w:sz w:val="26"/>
          <w:szCs w:val="26"/>
        </w:rPr>
        <w:t xml:space="preserve">Tabella </w:t>
      </w:r>
      <w:bookmarkEnd w:id="1"/>
      <w:r w:rsidRPr="006F2730">
        <w:rPr>
          <w:rFonts w:eastAsiaTheme="majorEastAsia" w:cstheme="majorBidi"/>
          <w:sz w:val="26"/>
          <w:szCs w:val="26"/>
        </w:rPr>
        <w:t>2</w:t>
      </w:r>
      <w:r w:rsidRPr="006F2730">
        <w:rPr>
          <w:rFonts w:eastAsiaTheme="majorEastAsia" w:cstheme="majorBidi"/>
          <w:bCs/>
          <w:sz w:val="26"/>
          <w:szCs w:val="26"/>
          <w:vertAlign w:val="superscript"/>
        </w:rPr>
        <w:footnoteReference w:id="2"/>
      </w:r>
      <w:bookmarkEnd w:id="2"/>
    </w:p>
    <w:tbl>
      <w:tblPr>
        <w:tblStyle w:val="Grigliatabella"/>
        <w:tblW w:w="9768" w:type="dxa"/>
        <w:tblLook w:val="04A0" w:firstRow="1" w:lastRow="0" w:firstColumn="1" w:lastColumn="0" w:noHBand="0" w:noVBand="1"/>
      </w:tblPr>
      <w:tblGrid>
        <w:gridCol w:w="2547"/>
        <w:gridCol w:w="2407"/>
        <w:gridCol w:w="2407"/>
        <w:gridCol w:w="2407"/>
      </w:tblGrid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jc w:val="center"/>
              <w:rPr>
                <w:b/>
                <w:bCs/>
                <w:sz w:val="20"/>
              </w:rPr>
            </w:pPr>
            <w:proofErr w:type="spellStart"/>
            <w:r w:rsidRPr="006F2730">
              <w:rPr>
                <w:b/>
                <w:bCs/>
                <w:sz w:val="20"/>
              </w:rPr>
              <w:t>Timeline</w:t>
            </w:r>
            <w:proofErr w:type="spellEnd"/>
            <w:r w:rsidRPr="006F2730">
              <w:rPr>
                <w:b/>
                <w:bCs/>
                <w:sz w:val="20"/>
              </w:rPr>
              <w:t>/Status dei destinatari</w:t>
            </w:r>
          </w:p>
        </w:tc>
        <w:tc>
          <w:tcPr>
            <w:tcW w:w="240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34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rFonts w:cs="Calibri,Bold"/>
                <w:b/>
                <w:bCs/>
                <w:sz w:val="20"/>
              </w:rPr>
              <w:t>FAMI</w:t>
            </w:r>
          </w:p>
        </w:tc>
        <w:tc>
          <w:tcPr>
            <w:tcW w:w="240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36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rFonts w:cs="Calibri,Bold"/>
                <w:b/>
                <w:bCs/>
                <w:sz w:val="20"/>
              </w:rPr>
              <w:t>FEAD</w:t>
            </w:r>
          </w:p>
        </w:tc>
        <w:tc>
          <w:tcPr>
            <w:tcW w:w="240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39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rFonts w:cs="Calibri,Bold"/>
                <w:b/>
                <w:bCs/>
                <w:sz w:val="20"/>
              </w:rPr>
              <w:t>FSE</w:t>
            </w:r>
          </w:p>
        </w:tc>
      </w:tr>
      <w:tr w:rsidR="001866B0" w:rsidRPr="006F2730" w:rsidTr="000722BF">
        <w:trPr>
          <w:trHeight w:val="3731"/>
        </w:trPr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Cittadini di Paesi terzi dopo l'arrivo in Europa, prima della domanda di protezione internazionale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4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 xml:space="preserve">Esempi: aiuti materiali (cibo, vestiario, alloggio, assistenza alla frontiera), istruzione, formazione, servizi di supporto, servizi di cura sanitari e psicologici, formazione linguistica, assistenza sociale, assistenza per le pratiche giudiziarie e amministrative, consulenza legale sulla procedura di asilo, assistenza 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6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Assistenza materiale di base, fornitura di alimenti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9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-</w:t>
            </w:r>
          </w:p>
        </w:tc>
      </w:tr>
      <w:tr w:rsidR="001866B0" w:rsidRPr="006F2730" w:rsidTr="000722BF">
        <w:trPr>
          <w:trHeight w:val="4261"/>
        </w:trPr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 xml:space="preserve">Richiedenti protezione internazionale non aventi ancora diritto all’accesso al mercato del lavoro 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4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 xml:space="preserve">Come sopra </w:t>
            </w:r>
          </w:p>
          <w:p w:rsidR="001866B0" w:rsidRPr="006F2730" w:rsidRDefault="001866B0" w:rsidP="000722BF">
            <w:pPr>
              <w:ind w:left="34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+</w:t>
            </w:r>
          </w:p>
          <w:p w:rsidR="001866B0" w:rsidRPr="006F2730" w:rsidRDefault="001866B0" w:rsidP="000722BF">
            <w:pPr>
              <w:ind w:left="34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 xml:space="preserve">Accesso alle misure di integrazione (formazione, azioni preparatorie per agevolare l’accesso al mercato del lavoro), consulenze per l’alloggio e le questioni amministrative e legali, </w:t>
            </w:r>
            <w:r w:rsidRPr="006F2730">
              <w:rPr>
                <w:bCs/>
                <w:i/>
                <w:sz w:val="20"/>
              </w:rPr>
              <w:t>self-</w:t>
            </w:r>
            <w:proofErr w:type="spellStart"/>
            <w:r w:rsidRPr="006F2730">
              <w:rPr>
                <w:bCs/>
                <w:i/>
                <w:sz w:val="20"/>
              </w:rPr>
              <w:t>empowerment</w:t>
            </w:r>
            <w:proofErr w:type="spellEnd"/>
            <w:r w:rsidRPr="006F2730">
              <w:rPr>
                <w:bCs/>
                <w:sz w:val="20"/>
              </w:rPr>
              <w:t>, promozione dell'uguaglianza, sostegno allo sviluppo delle capacità dei beneficiari coinvolti (ONG, etc.)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6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 xml:space="preserve">Assistenza materiale di base, alimenti, azioni per l’inclusione sociale 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9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La formazione professionale nei casi previsti dalla normativa nazionale, l'istruzione per i minori e le relative attrezzature necessarie per l’attuazione</w:t>
            </w:r>
          </w:p>
        </w:tc>
      </w:tr>
      <w:tr w:rsidR="001866B0" w:rsidRPr="006F2730" w:rsidTr="000722BF"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Richiedenti protezione internazionale aventi diritto all’accesso al mercato del lavoro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4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Come sopra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6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Assistenza materiale di base, alimenti, azioni per l’inclusione sociale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9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Accesso agli interventi del FSE (compresa l’attrezzatura necessaria per attuare le misure).</w:t>
            </w:r>
          </w:p>
          <w:p w:rsidR="001866B0" w:rsidRPr="006F2730" w:rsidRDefault="001866B0" w:rsidP="000722BF">
            <w:pPr>
              <w:ind w:left="39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Ad esempio: interventi per l’educazione, la formazione e le attività di consulenza</w:t>
            </w:r>
          </w:p>
        </w:tc>
      </w:tr>
      <w:tr w:rsidR="001866B0" w:rsidRPr="006F2730" w:rsidTr="000722BF">
        <w:trPr>
          <w:trHeight w:val="1213"/>
        </w:trPr>
        <w:tc>
          <w:tcPr>
            <w:tcW w:w="254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171"/>
              <w:contextualSpacing/>
              <w:jc w:val="center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lastRenderedPageBreak/>
              <w:t>Beneficiari di protezione internazionale (con accesso automatico al mondo del lavoro)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4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Come sopra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6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Come sopra</w:t>
            </w:r>
          </w:p>
        </w:tc>
        <w:tc>
          <w:tcPr>
            <w:tcW w:w="2407" w:type="dxa"/>
          </w:tcPr>
          <w:p w:rsidR="001866B0" w:rsidRPr="006F2730" w:rsidRDefault="001866B0" w:rsidP="000722BF">
            <w:pPr>
              <w:ind w:left="39"/>
              <w:contextualSpacing/>
              <w:jc w:val="both"/>
              <w:rPr>
                <w:bCs/>
                <w:sz w:val="20"/>
              </w:rPr>
            </w:pPr>
            <w:r w:rsidRPr="006F2730">
              <w:rPr>
                <w:bCs/>
                <w:sz w:val="20"/>
              </w:rPr>
              <w:t>Come sopra</w:t>
            </w:r>
          </w:p>
        </w:tc>
      </w:tr>
    </w:tbl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  <w:bookmarkStart w:id="4" w:name="_Toc449006580"/>
      <w:bookmarkStart w:id="5" w:name="_Toc454531062"/>
    </w:p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</w:p>
    <w:p w:rsidR="001866B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</w:p>
    <w:p w:rsidR="001866B0" w:rsidRPr="006F2730" w:rsidRDefault="001866B0" w:rsidP="001866B0">
      <w:pPr>
        <w:keepNext/>
        <w:keepLines/>
        <w:spacing w:before="40" w:after="0"/>
        <w:outlineLvl w:val="1"/>
        <w:rPr>
          <w:rFonts w:eastAsiaTheme="majorEastAsia" w:cstheme="majorBidi"/>
          <w:sz w:val="26"/>
          <w:szCs w:val="26"/>
        </w:rPr>
      </w:pPr>
      <w:r w:rsidRPr="006F2730">
        <w:rPr>
          <w:rFonts w:eastAsiaTheme="majorEastAsia" w:cstheme="majorBidi"/>
          <w:sz w:val="26"/>
          <w:szCs w:val="26"/>
        </w:rPr>
        <w:t xml:space="preserve">Tabella </w:t>
      </w:r>
      <w:bookmarkEnd w:id="4"/>
      <w:r w:rsidRPr="006F2730">
        <w:rPr>
          <w:rFonts w:eastAsiaTheme="majorEastAsia" w:cstheme="majorBidi"/>
          <w:sz w:val="26"/>
          <w:szCs w:val="26"/>
        </w:rPr>
        <w:t>3</w:t>
      </w:r>
      <w:r w:rsidRPr="006F2730">
        <w:rPr>
          <w:rFonts w:eastAsiaTheme="majorEastAsia" w:cstheme="majorBidi"/>
          <w:bCs/>
          <w:sz w:val="26"/>
          <w:szCs w:val="26"/>
          <w:vertAlign w:val="superscript"/>
        </w:rPr>
        <w:footnoteReference w:id="3"/>
      </w:r>
      <w:bookmarkEnd w:id="5"/>
    </w:p>
    <w:tbl>
      <w:tblPr>
        <w:tblStyle w:val="Grigliatabella"/>
        <w:tblW w:w="10343" w:type="dxa"/>
        <w:tblLayout w:type="fixed"/>
        <w:tblLook w:val="04A0" w:firstRow="1" w:lastRow="0" w:firstColumn="1" w:lastColumn="0" w:noHBand="0" w:noVBand="1"/>
      </w:tblPr>
      <w:tblGrid>
        <w:gridCol w:w="2689"/>
        <w:gridCol w:w="1418"/>
        <w:gridCol w:w="1700"/>
        <w:gridCol w:w="1559"/>
        <w:gridCol w:w="1560"/>
        <w:gridCol w:w="1417"/>
      </w:tblGrid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:rsidR="001866B0" w:rsidRPr="006F2730" w:rsidRDefault="001866B0" w:rsidP="000722BF">
            <w:pPr>
              <w:ind w:left="29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F2730">
              <w:rPr>
                <w:b/>
                <w:bCs/>
                <w:sz w:val="20"/>
                <w:szCs w:val="20"/>
              </w:rPr>
              <w:t>Ambiti di intervento prioritari del FAMI</w:t>
            </w:r>
          </w:p>
          <w:p w:rsidR="001866B0" w:rsidRPr="006F2730" w:rsidRDefault="001866B0" w:rsidP="000722BF">
            <w:pPr>
              <w:ind w:left="29"/>
              <w:contextualSpacing/>
              <w:jc w:val="center"/>
              <w:rPr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:rsidR="001866B0" w:rsidRPr="006F2730" w:rsidRDefault="001866B0" w:rsidP="000722BF">
            <w:pPr>
              <w:ind w:left="33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F2730">
              <w:rPr>
                <w:b/>
                <w:bCs/>
                <w:sz w:val="20"/>
                <w:szCs w:val="20"/>
              </w:rPr>
              <w:t>FEAD</w:t>
            </w:r>
          </w:p>
        </w:tc>
        <w:tc>
          <w:tcPr>
            <w:tcW w:w="1700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:rsidR="001866B0" w:rsidRPr="006F2730" w:rsidRDefault="001866B0" w:rsidP="000722BF">
            <w:pPr>
              <w:ind w:left="33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F2730">
              <w:rPr>
                <w:b/>
                <w:bCs/>
                <w:sz w:val="20"/>
                <w:szCs w:val="20"/>
              </w:rPr>
              <w:t>FSE</w:t>
            </w:r>
          </w:p>
        </w:tc>
        <w:tc>
          <w:tcPr>
            <w:tcW w:w="155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:rsidR="001866B0" w:rsidRPr="006F2730" w:rsidRDefault="001866B0" w:rsidP="000722BF">
            <w:pPr>
              <w:ind w:left="33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F2730">
              <w:rPr>
                <w:b/>
                <w:bCs/>
                <w:sz w:val="20"/>
                <w:szCs w:val="20"/>
              </w:rPr>
              <w:t>FESR</w:t>
            </w:r>
          </w:p>
        </w:tc>
        <w:tc>
          <w:tcPr>
            <w:tcW w:w="1560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:rsidR="001866B0" w:rsidRPr="006F2730" w:rsidRDefault="001866B0" w:rsidP="000722BF">
            <w:pPr>
              <w:ind w:left="33" w:hanging="33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F2730">
              <w:rPr>
                <w:b/>
                <w:bCs/>
                <w:sz w:val="20"/>
                <w:szCs w:val="20"/>
              </w:rPr>
              <w:t>FEASR</w:t>
            </w:r>
          </w:p>
        </w:tc>
        <w:tc>
          <w:tcPr>
            <w:tcW w:w="1417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p w:rsidR="001866B0" w:rsidRPr="006F2730" w:rsidRDefault="001866B0" w:rsidP="000722BF">
            <w:pPr>
              <w:ind w:left="33" w:right="-107" w:hanging="33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F2730">
              <w:rPr>
                <w:b/>
                <w:bCs/>
                <w:sz w:val="20"/>
                <w:szCs w:val="20"/>
              </w:rPr>
              <w:t>FEAMP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Accoglienza dei richiedenti asilo e sistemi di asilo (aiuto materiale, istruzione, formazione, infrastrutture, sostegno ai servizi)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Creazione e sviluppo delle strategie per l’integrazione, tra cui analisi dei bisogni, miglioramento degli indicatori dell'integrazione, valutazione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Azioni riguardanti la consulenza e l’assistenza in settori quali l’alloggio, i mezzi di sussistenza, l’orientamento giuridico e amministrativo, le cure mediche e psicologiche, l’assistenza sociale, l’assistenza all’infanzia e il ricongiungimento familiare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Sì, con un approccio alla loro inclusione sociale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Parzialmente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rPr>
                <w:sz w:val="20"/>
                <w:szCs w:val="20"/>
              </w:rPr>
            </w:pPr>
            <w:r w:rsidRPr="006F2730">
              <w:rPr>
                <w:sz w:val="20"/>
                <w:szCs w:val="20"/>
              </w:rPr>
              <w:t>Parzialmente in quanto il FESR può investire nella costruzione/ ristrutturazione di infrastrutture per i migranti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 xml:space="preserve">No 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Azioni che inseriscono i cittadini di paesi terzi nella società di accoglienza e consentono loro di adattarvisi, informarsi sui propri diritti e obblighi, partecipare alla vita civile e culturale e condividere i valori sanciti dalla Carta dei diritti fondamentali dell’Unione europea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Sì, con un approccio alla loro inclusione sociale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Sì, nel caso in cui queste misure siano parte di un insieme di azioni per aiutare ad integrare nel mercato del lavoro i richiedenti asilo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 xml:space="preserve">No 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Misure incentrate sull’istruzione e la formazione, comprese la formazione linguistica e le azioni preparatorie volte ad agevolare l’accesso al mercato del lavoro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 xml:space="preserve">No 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Parzialmente (infrastrutture)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33" w:hanging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lastRenderedPageBreak/>
              <w:t>Azioni intese a promuovere l’emancipazione e a consentire ai cittadini di paesi terzi di provvedere ai propri bisogni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Sì, con un approccio alla loro inclusione sociale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Sì, nel caso in cui queste misure siano parte di un insieme di misure per aiutare ad integrare nel mercato del lavoro i richiedenti asilo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 xml:space="preserve">Parzialmente (ad esempio attraverso </w:t>
            </w:r>
            <w:r w:rsidRPr="006F2730">
              <w:rPr>
                <w:bCs/>
                <w:i/>
                <w:sz w:val="20"/>
                <w:szCs w:val="20"/>
              </w:rPr>
              <w:t>start up</w:t>
            </w:r>
            <w:r w:rsidRPr="006F2730">
              <w:rPr>
                <w:bCs/>
                <w:sz w:val="20"/>
                <w:szCs w:val="20"/>
              </w:rPr>
              <w:t xml:space="preserve">, microimprese, </w:t>
            </w:r>
            <w:r w:rsidRPr="006F2730">
              <w:rPr>
                <w:bCs/>
                <w:i/>
                <w:sz w:val="20"/>
                <w:szCs w:val="20"/>
              </w:rPr>
              <w:t xml:space="preserve">self </w:t>
            </w:r>
            <w:proofErr w:type="spellStart"/>
            <w:r w:rsidRPr="006F2730">
              <w:rPr>
                <w:bCs/>
                <w:i/>
                <w:sz w:val="20"/>
                <w:szCs w:val="20"/>
              </w:rPr>
              <w:t>employment</w:t>
            </w:r>
            <w:proofErr w:type="spellEnd"/>
            <w:r w:rsidRPr="006F273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 xml:space="preserve">Parzialmente 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contextualSpacing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Parzialmente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Azioni che promuovono un contatto significativo e un dialogo costruttivo tra i cittadini di Paesi terzi e la società di accoglienza e azioni che promuovono l’accettazione nella società di accoglienza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Azioni che promuovono la parità di accesso e la parità di risultati nei rapporti dei cittadini di Paesi terzi con i servizi pubblici e privati, anche adattando tali servizi in vista dei contatti con i cittadini di Paesi terzi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Sì, con un approccio alla loro inclusione sociale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Sì, in particolare per gli investimenti infrastrutturali nei servizi pubblici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 xml:space="preserve">Sì 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</w:tr>
      <w:tr w:rsidR="001866B0" w:rsidRPr="006F2730" w:rsidTr="000722BF">
        <w:tc>
          <w:tcPr>
            <w:tcW w:w="2689" w:type="dxa"/>
            <w:shd w:val="clear" w:color="auto" w:fill="2E74B5" w:themeFill="accent1" w:themeFillShade="BF"/>
          </w:tcPr>
          <w:p w:rsidR="001866B0" w:rsidRPr="006F2730" w:rsidRDefault="001866B0" w:rsidP="000722BF">
            <w:pPr>
              <w:ind w:left="29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Rafforzamento delle capacità dei beneficiari</w:t>
            </w:r>
          </w:p>
        </w:tc>
        <w:tc>
          <w:tcPr>
            <w:tcW w:w="1418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 per le organizzazioni partner</w:t>
            </w:r>
          </w:p>
        </w:tc>
        <w:tc>
          <w:tcPr>
            <w:tcW w:w="1700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59" w:type="dxa"/>
          </w:tcPr>
          <w:p w:rsidR="001866B0" w:rsidRPr="006F2730" w:rsidRDefault="001866B0" w:rsidP="000722BF">
            <w:pPr>
              <w:ind w:left="33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Sì</w:t>
            </w:r>
          </w:p>
        </w:tc>
        <w:tc>
          <w:tcPr>
            <w:tcW w:w="1560" w:type="dxa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417" w:type="dxa"/>
          </w:tcPr>
          <w:p w:rsidR="001866B0" w:rsidRPr="006F2730" w:rsidRDefault="001866B0" w:rsidP="000722BF">
            <w:pPr>
              <w:ind w:left="720"/>
              <w:contextualSpacing/>
              <w:jc w:val="center"/>
              <w:rPr>
                <w:bCs/>
                <w:sz w:val="20"/>
                <w:szCs w:val="20"/>
              </w:rPr>
            </w:pPr>
            <w:r w:rsidRPr="006F2730">
              <w:rPr>
                <w:bCs/>
                <w:sz w:val="20"/>
                <w:szCs w:val="20"/>
              </w:rPr>
              <w:t>No</w:t>
            </w:r>
          </w:p>
        </w:tc>
      </w:tr>
    </w:tbl>
    <w:p w:rsidR="001866B0" w:rsidRPr="006F2730" w:rsidRDefault="001866B0" w:rsidP="001866B0">
      <w:pPr>
        <w:spacing w:after="0" w:line="240" w:lineRule="auto"/>
        <w:jc w:val="center"/>
        <w:rPr>
          <w:b/>
          <w:bCs/>
        </w:rPr>
      </w:pPr>
    </w:p>
    <w:sectPr w:rsidR="001866B0" w:rsidRPr="006F27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6B0" w:rsidRDefault="001866B0" w:rsidP="001866B0">
      <w:pPr>
        <w:spacing w:after="0" w:line="240" w:lineRule="auto"/>
      </w:pPr>
      <w:r>
        <w:separator/>
      </w:r>
    </w:p>
  </w:endnote>
  <w:endnote w:type="continuationSeparator" w:id="0">
    <w:p w:rsidR="001866B0" w:rsidRDefault="001866B0" w:rsidP="00186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6B0" w:rsidRDefault="001866B0" w:rsidP="001866B0">
      <w:pPr>
        <w:spacing w:after="0" w:line="240" w:lineRule="auto"/>
      </w:pPr>
      <w:r>
        <w:separator/>
      </w:r>
    </w:p>
  </w:footnote>
  <w:footnote w:type="continuationSeparator" w:id="0">
    <w:p w:rsidR="001866B0" w:rsidRDefault="001866B0" w:rsidP="001866B0">
      <w:pPr>
        <w:spacing w:after="0" w:line="240" w:lineRule="auto"/>
      </w:pPr>
      <w:r>
        <w:continuationSeparator/>
      </w:r>
    </w:p>
  </w:footnote>
  <w:footnote w:id="1">
    <w:p w:rsidR="001866B0" w:rsidRPr="007044B9" w:rsidRDefault="001866B0" w:rsidP="001866B0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B06D1D">
        <w:rPr>
          <w:sz w:val="16"/>
          <w:szCs w:val="16"/>
        </w:rPr>
        <w:t xml:space="preserve">Traduzione non ufficiale, tabella estratta dalla </w:t>
      </w:r>
      <w:r w:rsidRPr="00E90FD1">
        <w:rPr>
          <w:i/>
          <w:sz w:val="16"/>
          <w:szCs w:val="16"/>
        </w:rPr>
        <w:t>Briefing note</w:t>
      </w:r>
      <w:r w:rsidRPr="00B06D1D">
        <w:rPr>
          <w:sz w:val="16"/>
          <w:szCs w:val="16"/>
        </w:rPr>
        <w:t xml:space="preserve"> del PE “</w:t>
      </w:r>
      <w:proofErr w:type="spellStart"/>
      <w:r w:rsidRPr="00B06D1D">
        <w:rPr>
          <w:i/>
          <w:sz w:val="16"/>
          <w:szCs w:val="16"/>
        </w:rPr>
        <w:t>Labour</w:t>
      </w:r>
      <w:proofErr w:type="spellEnd"/>
      <w:r w:rsidRPr="00B06D1D">
        <w:rPr>
          <w:i/>
          <w:sz w:val="16"/>
          <w:szCs w:val="16"/>
        </w:rPr>
        <w:t xml:space="preserve"> Market Integration of </w:t>
      </w:r>
      <w:proofErr w:type="spellStart"/>
      <w:r w:rsidRPr="00B06D1D">
        <w:rPr>
          <w:i/>
          <w:sz w:val="16"/>
          <w:szCs w:val="16"/>
        </w:rPr>
        <w:t>Refugees</w:t>
      </w:r>
      <w:proofErr w:type="spellEnd"/>
      <w:r w:rsidRPr="00B06D1D">
        <w:rPr>
          <w:i/>
          <w:sz w:val="16"/>
          <w:szCs w:val="16"/>
        </w:rPr>
        <w:t xml:space="preserve">: EU </w:t>
      </w:r>
      <w:proofErr w:type="spellStart"/>
      <w:r w:rsidRPr="00B06D1D">
        <w:rPr>
          <w:i/>
          <w:sz w:val="16"/>
          <w:szCs w:val="16"/>
        </w:rPr>
        <w:t>Funding</w:t>
      </w:r>
      <w:proofErr w:type="spellEnd"/>
      <w:r w:rsidRPr="00B06D1D">
        <w:rPr>
          <w:i/>
          <w:sz w:val="16"/>
          <w:szCs w:val="16"/>
        </w:rPr>
        <w:t xml:space="preserve"> Instruments”</w:t>
      </w:r>
      <w:r w:rsidRPr="00B06D1D">
        <w:rPr>
          <w:sz w:val="16"/>
          <w:szCs w:val="16"/>
        </w:rPr>
        <w:t xml:space="preserve"> PE 570.005</w:t>
      </w:r>
    </w:p>
  </w:footnote>
  <w:footnote w:id="2">
    <w:p w:rsidR="001866B0" w:rsidRPr="0071673C" w:rsidRDefault="001866B0" w:rsidP="001866B0">
      <w:pPr>
        <w:pStyle w:val="Testonotaapidipagina"/>
        <w:jc w:val="both"/>
        <w:rPr>
          <w:sz w:val="16"/>
          <w:szCs w:val="16"/>
        </w:rPr>
      </w:pPr>
      <w:r w:rsidRPr="007044B9">
        <w:rPr>
          <w:rStyle w:val="Rimandonotaapidipagina"/>
          <w:sz w:val="16"/>
          <w:szCs w:val="16"/>
        </w:rPr>
        <w:footnoteRef/>
      </w:r>
      <w:r w:rsidRPr="007044B9">
        <w:rPr>
          <w:sz w:val="16"/>
          <w:szCs w:val="16"/>
        </w:rPr>
        <w:t xml:space="preserve"> </w:t>
      </w:r>
      <w:r w:rsidRPr="005756D2">
        <w:rPr>
          <w:sz w:val="16"/>
          <w:szCs w:val="16"/>
        </w:rPr>
        <w:t xml:space="preserve">Traduzione non </w:t>
      </w:r>
      <w:proofErr w:type="gramStart"/>
      <w:r w:rsidRPr="005756D2">
        <w:rPr>
          <w:sz w:val="16"/>
          <w:szCs w:val="16"/>
        </w:rPr>
        <w:t xml:space="preserve">ufficiale </w:t>
      </w:r>
      <w:r>
        <w:rPr>
          <w:sz w:val="16"/>
          <w:szCs w:val="16"/>
        </w:rPr>
        <w:t>,</w:t>
      </w:r>
      <w:proofErr w:type="gramEnd"/>
      <w:r>
        <w:rPr>
          <w:sz w:val="16"/>
          <w:szCs w:val="16"/>
        </w:rPr>
        <w:t xml:space="preserve"> t</w:t>
      </w:r>
      <w:r w:rsidRPr="007044B9">
        <w:rPr>
          <w:sz w:val="16"/>
          <w:szCs w:val="16"/>
        </w:rPr>
        <w:t xml:space="preserve">abella estratta dal documento del CPMR, 18 gennaio 2016: “Background note Funds </w:t>
      </w:r>
      <w:proofErr w:type="spellStart"/>
      <w:r w:rsidRPr="007044B9">
        <w:rPr>
          <w:sz w:val="16"/>
          <w:szCs w:val="16"/>
        </w:rPr>
        <w:t>that</w:t>
      </w:r>
      <w:proofErr w:type="spellEnd"/>
      <w:r w:rsidRPr="007044B9">
        <w:rPr>
          <w:sz w:val="16"/>
          <w:szCs w:val="16"/>
        </w:rPr>
        <w:t xml:space="preserve"> can be </w:t>
      </w:r>
      <w:proofErr w:type="spellStart"/>
      <w:r w:rsidRPr="007044B9">
        <w:rPr>
          <w:sz w:val="16"/>
          <w:szCs w:val="16"/>
        </w:rPr>
        <w:t>used</w:t>
      </w:r>
      <w:proofErr w:type="spellEnd"/>
      <w:r w:rsidRPr="0071673C">
        <w:rPr>
          <w:sz w:val="16"/>
          <w:szCs w:val="16"/>
        </w:rPr>
        <w:t xml:space="preserve"> to </w:t>
      </w:r>
      <w:proofErr w:type="spellStart"/>
      <w:r w:rsidRPr="0071673C">
        <w:rPr>
          <w:sz w:val="16"/>
          <w:szCs w:val="16"/>
        </w:rPr>
        <w:t>support</w:t>
      </w:r>
      <w:proofErr w:type="spellEnd"/>
      <w:r w:rsidRPr="0071673C">
        <w:rPr>
          <w:sz w:val="16"/>
          <w:szCs w:val="16"/>
        </w:rPr>
        <w:t xml:space="preserve">  </w:t>
      </w:r>
      <w:proofErr w:type="spellStart"/>
      <w:r w:rsidRPr="0071673C">
        <w:rPr>
          <w:sz w:val="16"/>
          <w:szCs w:val="16"/>
        </w:rPr>
        <w:t>actions</w:t>
      </w:r>
      <w:proofErr w:type="spellEnd"/>
      <w:r w:rsidRPr="0071673C">
        <w:rPr>
          <w:sz w:val="16"/>
          <w:szCs w:val="16"/>
        </w:rPr>
        <w:t xml:space="preserve"> </w:t>
      </w:r>
      <w:proofErr w:type="spellStart"/>
      <w:r w:rsidRPr="0071673C">
        <w:rPr>
          <w:sz w:val="16"/>
          <w:szCs w:val="16"/>
        </w:rPr>
        <w:t>targeting</w:t>
      </w:r>
      <w:proofErr w:type="spellEnd"/>
      <w:r w:rsidRPr="0071673C">
        <w:rPr>
          <w:sz w:val="16"/>
          <w:szCs w:val="16"/>
        </w:rPr>
        <w:t xml:space="preserve"> </w:t>
      </w:r>
      <w:proofErr w:type="spellStart"/>
      <w:r w:rsidRPr="0071673C">
        <w:rPr>
          <w:sz w:val="16"/>
          <w:szCs w:val="16"/>
        </w:rPr>
        <w:t>migration</w:t>
      </w:r>
      <w:proofErr w:type="spellEnd"/>
      <w:r>
        <w:rPr>
          <w:sz w:val="16"/>
          <w:szCs w:val="16"/>
        </w:rPr>
        <w:t>”</w:t>
      </w:r>
    </w:p>
  </w:footnote>
  <w:footnote w:id="3">
    <w:p w:rsidR="001866B0" w:rsidRPr="00A82BE2" w:rsidRDefault="001866B0" w:rsidP="001866B0">
      <w:pPr>
        <w:pStyle w:val="Testonotaapidipagina"/>
        <w:ind w:left="142" w:hanging="142"/>
        <w:jc w:val="both"/>
        <w:rPr>
          <w:sz w:val="16"/>
          <w:szCs w:val="16"/>
          <w:lang w:val="en-GB"/>
        </w:rPr>
      </w:pPr>
      <w:r>
        <w:rPr>
          <w:rStyle w:val="Rimandonotaapidipagina"/>
        </w:rPr>
        <w:footnoteRef/>
      </w:r>
      <w:r w:rsidRPr="00A82BE2">
        <w:rPr>
          <w:lang w:val="en-GB"/>
        </w:rPr>
        <w:t xml:space="preserve"> </w:t>
      </w:r>
      <w:proofErr w:type="spellStart"/>
      <w:r w:rsidRPr="00A82BE2">
        <w:rPr>
          <w:sz w:val="16"/>
          <w:szCs w:val="16"/>
          <w:lang w:val="en-GB"/>
        </w:rPr>
        <w:t>Tabella</w:t>
      </w:r>
      <w:proofErr w:type="spellEnd"/>
      <w:r w:rsidRPr="00A82BE2">
        <w:rPr>
          <w:sz w:val="16"/>
          <w:szCs w:val="16"/>
          <w:lang w:val="en-GB"/>
        </w:rPr>
        <w:t xml:space="preserve"> </w:t>
      </w:r>
      <w:proofErr w:type="spellStart"/>
      <w:r w:rsidRPr="00A82BE2">
        <w:rPr>
          <w:sz w:val="16"/>
          <w:szCs w:val="16"/>
          <w:lang w:val="en-GB"/>
        </w:rPr>
        <w:t>estratta</w:t>
      </w:r>
      <w:proofErr w:type="spellEnd"/>
      <w:r w:rsidRPr="00A82BE2">
        <w:rPr>
          <w:sz w:val="16"/>
          <w:szCs w:val="16"/>
          <w:lang w:val="en-GB"/>
        </w:rPr>
        <w:t xml:space="preserve"> dal </w:t>
      </w:r>
      <w:proofErr w:type="spellStart"/>
      <w:r w:rsidRPr="00A82BE2">
        <w:rPr>
          <w:sz w:val="16"/>
          <w:szCs w:val="16"/>
          <w:lang w:val="en-GB"/>
        </w:rPr>
        <w:t>documento</w:t>
      </w:r>
      <w:proofErr w:type="spellEnd"/>
      <w:r w:rsidRPr="00A82BE2">
        <w:rPr>
          <w:sz w:val="16"/>
          <w:szCs w:val="16"/>
          <w:lang w:val="en-GB"/>
        </w:rPr>
        <w:t xml:space="preserve"> della CE, </w:t>
      </w:r>
      <w:proofErr w:type="spellStart"/>
      <w:r w:rsidRPr="00A82BE2">
        <w:rPr>
          <w:sz w:val="16"/>
          <w:szCs w:val="16"/>
          <w:lang w:val="en-GB"/>
        </w:rPr>
        <w:t>ottobre</w:t>
      </w:r>
      <w:proofErr w:type="spellEnd"/>
      <w:r w:rsidRPr="00A82BE2">
        <w:rPr>
          <w:sz w:val="16"/>
          <w:szCs w:val="16"/>
          <w:lang w:val="en-GB"/>
        </w:rPr>
        <w:t xml:space="preserve"> 2015: “</w:t>
      </w:r>
      <w:r w:rsidRPr="009B7D02">
        <w:rPr>
          <w:bCs/>
          <w:i/>
          <w:sz w:val="16"/>
          <w:szCs w:val="16"/>
          <w:lang w:val="en-GB"/>
        </w:rPr>
        <w:t>Synergies between the Asylum Migration and Integration Fund (AMIF) and other EU funding instruments in relation to reception and integration of asylum seekers and other migrants</w:t>
      </w:r>
      <w:r w:rsidRPr="00A82BE2">
        <w:rPr>
          <w:bCs/>
          <w:sz w:val="16"/>
          <w:szCs w:val="16"/>
          <w:lang w:val="en-GB"/>
        </w:rPr>
        <w:t>”</w:t>
      </w:r>
      <w:r>
        <w:rPr>
          <w:bCs/>
          <w:sz w:val="16"/>
          <w:szCs w:val="16"/>
          <w:lang w:val="en-GB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6B0"/>
    <w:rsid w:val="001866B0"/>
    <w:rsid w:val="00F40191"/>
    <w:rsid w:val="00FC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10427-FEE6-400F-9A44-718ACD39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866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866B0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866B0"/>
    <w:rPr>
      <w:rFonts w:eastAsiaTheme="minorEastAsi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66B0"/>
    <w:rPr>
      <w:vertAlign w:val="superscript"/>
    </w:rPr>
  </w:style>
  <w:style w:type="table" w:styleId="Grigliatabella">
    <w:name w:val="Table Grid"/>
    <w:basedOn w:val="Tabellanormale"/>
    <w:uiPriority w:val="39"/>
    <w:rsid w:val="00186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Giangiorgi</dc:creator>
  <cp:keywords/>
  <dc:description/>
  <cp:lastModifiedBy>Roberta Giangiorgi</cp:lastModifiedBy>
  <cp:revision>1</cp:revision>
  <dcterms:created xsi:type="dcterms:W3CDTF">2017-06-12T10:42:00Z</dcterms:created>
  <dcterms:modified xsi:type="dcterms:W3CDTF">2017-06-12T10:45:00Z</dcterms:modified>
</cp:coreProperties>
</file>