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Elencomedio2-Colore1"/>
        <w:tblW w:w="5000" w:type="pct"/>
        <w:tblLook w:val="04A0" w:firstRow="1" w:lastRow="0" w:firstColumn="1" w:lastColumn="0" w:noHBand="0" w:noVBand="1"/>
      </w:tblPr>
      <w:tblGrid>
        <w:gridCol w:w="9608"/>
      </w:tblGrid>
      <w:tr w:rsidR="00336145" w:rsidRPr="00336145" w:rsidTr="006B36C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000" w:type="pct"/>
            <w:tcBorders>
              <w:top w:val="single" w:sz="18" w:space="0" w:color="5B9BD5" w:themeColor="accent1"/>
              <w:left w:val="single" w:sz="12" w:space="0" w:color="5B9BD5" w:themeColor="accent1"/>
              <w:right w:val="single" w:sz="12" w:space="0" w:color="5B9BD5" w:themeColor="accent1"/>
            </w:tcBorders>
            <w:shd w:val="clear" w:color="auto" w:fill="DEEAF6" w:themeFill="accent1" w:themeFillTint="33"/>
            <w:noWrap/>
            <w:vAlign w:val="center"/>
          </w:tcPr>
          <w:p w:rsidR="00336145" w:rsidRPr="00336145" w:rsidRDefault="00336145" w:rsidP="00336145">
            <w:pPr>
              <w:spacing w:after="160" w:line="259" w:lineRule="auto"/>
              <w:rPr>
                <w:rFonts w:asciiTheme="minorHAnsi" w:eastAsiaTheme="minorHAnsi" w:hAnsiTheme="minorHAnsi" w:cstheme="minorBidi"/>
                <w:b/>
                <w:color w:val="auto"/>
                <w:sz w:val="22"/>
                <w:szCs w:val="22"/>
              </w:rPr>
            </w:pPr>
          </w:p>
          <w:p w:rsidR="00336145" w:rsidRPr="00336145" w:rsidRDefault="00336145" w:rsidP="00336145">
            <w:pPr>
              <w:spacing w:after="160" w:line="259" w:lineRule="auto"/>
              <w:rPr>
                <w:rFonts w:asciiTheme="minorHAnsi" w:eastAsiaTheme="minorHAnsi" w:hAnsiTheme="minorHAnsi" w:cstheme="minorBidi"/>
                <w:b/>
                <w:color w:val="auto"/>
                <w:sz w:val="22"/>
                <w:szCs w:val="22"/>
              </w:rPr>
            </w:pPr>
            <w:r w:rsidRPr="00336145">
              <w:rPr>
                <w:rFonts w:asciiTheme="minorHAnsi" w:eastAsiaTheme="minorHAnsi" w:hAnsiTheme="minorHAnsi" w:cstheme="minorBidi"/>
                <w:b/>
                <w:i/>
                <w:color w:val="auto"/>
                <w:sz w:val="22"/>
                <w:szCs w:val="22"/>
              </w:rPr>
              <w:t>Housing</w:t>
            </w:r>
            <w:r w:rsidRPr="00336145">
              <w:rPr>
                <w:rFonts w:asciiTheme="minorHAnsi" w:eastAsiaTheme="minorHAnsi" w:hAnsiTheme="minorHAnsi" w:cstheme="minorBidi"/>
                <w:b/>
                <w:color w:val="auto"/>
                <w:sz w:val="22"/>
                <w:szCs w:val="22"/>
              </w:rPr>
              <w:t xml:space="preserve"> e supervisione sociale dei richiedenti asilo dalla comunità Rom del Kosovo</w:t>
            </w:r>
          </w:p>
          <w:p w:rsidR="00336145" w:rsidRPr="00336145" w:rsidRDefault="00336145" w:rsidP="00336145">
            <w:pPr>
              <w:spacing w:after="160" w:line="259" w:lineRule="auto"/>
              <w:rPr>
                <w:rFonts w:asciiTheme="minorHAnsi" w:eastAsiaTheme="minorHAnsi" w:hAnsiTheme="minorHAnsi" w:cstheme="minorBidi"/>
                <w:b/>
                <w:color w:val="auto"/>
                <w:sz w:val="22"/>
                <w:szCs w:val="22"/>
              </w:rPr>
            </w:pPr>
          </w:p>
          <w:p w:rsidR="00336145" w:rsidRPr="00336145" w:rsidRDefault="00336145" w:rsidP="00336145">
            <w:pPr>
              <w:spacing w:after="160" w:line="259" w:lineRule="auto"/>
              <w:rPr>
                <w:rFonts w:asciiTheme="minorHAnsi" w:eastAsiaTheme="minorHAnsi" w:hAnsiTheme="minorHAnsi" w:cstheme="minorBidi"/>
                <w:b/>
                <w:color w:val="auto"/>
                <w:sz w:val="22"/>
                <w:szCs w:val="22"/>
              </w:rPr>
            </w:pPr>
            <w:r w:rsidRPr="00336145">
              <w:rPr>
                <w:rFonts w:asciiTheme="minorHAnsi" w:eastAsiaTheme="minorHAnsi" w:hAnsiTheme="minorHAnsi" w:cstheme="minorBidi"/>
                <w:b/>
                <w:color w:val="auto"/>
                <w:sz w:val="22"/>
                <w:szCs w:val="22"/>
              </w:rPr>
              <w:t xml:space="preserve">                                                                                                        Francia           CCAS de Tours                                                       </w:t>
            </w:r>
          </w:p>
        </w:tc>
      </w:tr>
      <w:tr w:rsidR="00336145" w:rsidRPr="00336145" w:rsidTr="006B3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Borders>
              <w:top w:val="single" w:sz="24" w:space="0" w:color="5B9BD5" w:themeColor="accent1"/>
              <w:left w:val="single" w:sz="12" w:space="0" w:color="5B9BD5" w:themeColor="accent1"/>
              <w:bottom w:val="single" w:sz="12"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b/>
                <w:color w:val="auto"/>
              </w:rPr>
              <w:t xml:space="preserve">Contesto </w:t>
            </w:r>
          </w:p>
        </w:tc>
      </w:tr>
      <w:tr w:rsidR="00336145" w:rsidRPr="00336145" w:rsidTr="006B36CF">
        <w:tc>
          <w:tcPr>
            <w:cnfStyle w:val="001000000000" w:firstRow="0" w:lastRow="0" w:firstColumn="1" w:lastColumn="0" w:oddVBand="0" w:evenVBand="0" w:oddHBand="0" w:evenHBand="0" w:firstRowFirstColumn="0" w:firstRowLastColumn="0" w:lastRowFirstColumn="0" w:lastRowLastColumn="0"/>
            <w:tcW w:w="5000" w:type="pct"/>
            <w:tcBorders>
              <w:top w:val="single" w:sz="12" w:space="0" w:color="5B9BD5" w:themeColor="accent1"/>
              <w:left w:val="single" w:sz="12" w:space="0" w:color="5B9BD5" w:themeColor="accent1"/>
              <w:bottom w:val="dashSmallGap" w:sz="4"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Una bidonville nel quartiere della città ha riunito 70 persone della comunità Rom. A causa delle condizioni sanitarie, igieniche e di sicurezza vigenti, le autorità competenti hanno deciso di chiuderlo rapidamente e di organizzare un alloggio temporaneo di queste persone in un luogo più adatto, con bungalow, riscaldamento, elettricità, servizi igienici, acqua e contenitori per i rifiuti.</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Queste persone provenienti dalla comunità Rom erano richiedenti asilo dal Kosovo e beneficiarie di protezione da parte dell'Alto Comitato dei profughi dell'Unione Europea con conseguente diritto a non essere espulse. Tuttavia, la loro condizione non gli consentiva di accedere a diritti sociali minimi, né di svolgere un’attività lavorativa. La maggior parte degli adulti era destinataria di un invito a lasciare il territorio, altri avevano ricevuto una notifica di diniego del diritto di soggiorno sul territorio e altri avevano ricevuto un ordine di visto alla frontiera ed erano ancora in attesa di riesame della loro situazione.</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Nonostante la riunione con la prefettura, la situazione di queste famiglie non aveva visto alcun progresso in termini di evoluzione del loro status sfavorevole "nessuna possibilità di regolarizzazione, nessun eventuale sfratto"</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In questo contesto, i centri di azione sociale locali e di welfare community (CCAS) di Tours garantiscono il follow- up di queste persone e la loro sistemazione in bungalow con l'obiettivo di trovare loro un alloggio sostenibile, adattato alle loro abitudini, per chiudere rapidamente il sito che non può durare più a causa delle infrastrutture esistenti e della sua popolazione.</w:t>
            </w:r>
          </w:p>
        </w:tc>
      </w:tr>
      <w:tr w:rsidR="00336145" w:rsidRPr="00336145" w:rsidTr="006B3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Borders>
              <w:top w:val="dashSmallGap" w:sz="4" w:space="0" w:color="5B9BD5" w:themeColor="accent1"/>
              <w:left w:val="single" w:sz="12" w:space="0" w:color="5B9BD5" w:themeColor="accent1"/>
              <w:bottom w:val="single" w:sz="12"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b/>
                <w:color w:val="auto"/>
              </w:rPr>
              <w:t xml:space="preserve">Descrizione </w:t>
            </w:r>
          </w:p>
        </w:tc>
      </w:tr>
      <w:tr w:rsidR="00336145" w:rsidRPr="00336145" w:rsidTr="006B36CF">
        <w:tc>
          <w:tcPr>
            <w:cnfStyle w:val="001000000000" w:firstRow="0" w:lastRow="0" w:firstColumn="1" w:lastColumn="0" w:oddVBand="0" w:evenVBand="0" w:oddHBand="0" w:evenHBand="0" w:firstRowFirstColumn="0" w:firstRowLastColumn="0" w:lastRowFirstColumn="0" w:lastRowLastColumn="0"/>
            <w:tcW w:w="5000" w:type="pct"/>
            <w:tcBorders>
              <w:top w:val="single" w:sz="12" w:space="0" w:color="5B9BD5" w:themeColor="accent1"/>
              <w:left w:val="single" w:sz="12" w:space="0" w:color="5B9BD5" w:themeColor="accent1"/>
              <w:bottom w:val="dashSmallGap" w:sz="4"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L'obiettivo del CCAS è trovare gradualmente un alloggio per ogni persona, pertinente con la sua situazione sociale e le sue capacità di integrazione in un alloggio collettivo, dopo la conclusione di un contratto di prenotazione. Il follow-up è stato precedentemente realizzato da una ONG locale che ha rinunciato al progetto. Il CCAS ha deciso di gestire il progetto con l'aiuto di un assistente sociale e la partecipazione di infermieri volontari (dalla croce rossa e dai "restos du Coeur"). L’intervento consta di diversi aspetti:</w:t>
            </w:r>
          </w:p>
          <w:p w:rsidR="00336145" w:rsidRPr="00336145" w:rsidRDefault="00336145" w:rsidP="00336145">
            <w:pPr>
              <w:spacing w:after="160" w:line="259" w:lineRule="auto"/>
              <w:rPr>
                <w:rFonts w:asciiTheme="minorHAnsi" w:eastAsiaTheme="minorHAnsi" w:hAnsiTheme="minorHAnsi" w:cstheme="minorBidi"/>
                <w:color w:val="auto"/>
              </w:rPr>
            </w:pPr>
          </w:p>
          <w:p w:rsidR="00336145" w:rsidRPr="00336145" w:rsidRDefault="00336145" w:rsidP="00336145">
            <w:pPr>
              <w:spacing w:after="160" w:line="259" w:lineRule="auto"/>
              <w:rPr>
                <w:rFonts w:asciiTheme="minorHAnsi" w:eastAsiaTheme="minorHAnsi" w:hAnsiTheme="minorHAnsi" w:cstheme="minorBidi"/>
                <w:b/>
                <w:color w:val="auto"/>
              </w:rPr>
            </w:pPr>
            <w:r w:rsidRPr="00336145">
              <w:rPr>
                <w:rFonts w:asciiTheme="minorHAnsi" w:eastAsiaTheme="minorHAnsi" w:hAnsiTheme="minorHAnsi" w:cstheme="minorBidi"/>
                <w:b/>
                <w:color w:val="auto"/>
              </w:rPr>
              <w:t>Supporto sociale</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 xml:space="preserve">Il CCAS, in merito al disimpegno della ONG locale, ha reagito rapidamente con l'assunzione di un assistente sociale che è stato incaricato del follow-up della situazione sociale di tali persone a tempo pieno. La persona è andata regolarmente in loco per incontrare le famiglie e ha discusso con loro in merito alle procedure da intraprendere (domiciliazione presso il CCAS), definizione di un elenco delle esigenze della famiglia (alimentazione, vestiti, assistenza medica ...) iniziative per la loro integrazione sociale (borsa di studio, apprendimento della lingua francese, pratiche di igiene ...). La presenza regolare </w:t>
            </w:r>
            <w:r w:rsidRPr="00336145">
              <w:rPr>
                <w:rFonts w:asciiTheme="minorHAnsi" w:eastAsiaTheme="minorHAnsi" w:hAnsiTheme="minorHAnsi" w:cstheme="minorBidi"/>
                <w:color w:val="auto"/>
              </w:rPr>
              <w:lastRenderedPageBreak/>
              <w:t>del CCAS nei luoghi ha dato l'opportunità di conoscere meglio le famiglie e di avere la loro riconoscenza per il lavoro realizzato insieme.</w:t>
            </w:r>
          </w:p>
          <w:p w:rsidR="00336145" w:rsidRPr="00336145" w:rsidRDefault="00336145" w:rsidP="00336145">
            <w:pPr>
              <w:spacing w:after="160" w:line="259" w:lineRule="auto"/>
              <w:rPr>
                <w:rFonts w:asciiTheme="minorHAnsi" w:eastAsiaTheme="minorHAnsi" w:hAnsiTheme="minorHAnsi" w:cstheme="minorBidi"/>
                <w:color w:val="auto"/>
              </w:rPr>
            </w:pPr>
          </w:p>
          <w:p w:rsidR="00336145" w:rsidRPr="00336145" w:rsidRDefault="00336145" w:rsidP="00336145">
            <w:pPr>
              <w:spacing w:after="160" w:line="259" w:lineRule="auto"/>
              <w:rPr>
                <w:rFonts w:asciiTheme="minorHAnsi" w:eastAsiaTheme="minorHAnsi" w:hAnsiTheme="minorHAnsi" w:cstheme="minorBidi"/>
                <w:b/>
                <w:color w:val="auto"/>
              </w:rPr>
            </w:pPr>
            <w:r w:rsidRPr="00336145">
              <w:rPr>
                <w:rFonts w:asciiTheme="minorHAnsi" w:eastAsiaTheme="minorHAnsi" w:hAnsiTheme="minorHAnsi" w:cstheme="minorBidi"/>
                <w:b/>
                <w:color w:val="auto"/>
              </w:rPr>
              <w:t>Aiuto sociale opzionale</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Queste famiglie erano prive di mezzi finanziari legali, quindi i CCAS hanno concesso loro ogni mese "assegni personalizzati" in relazione ai componenti il nucleo familiare e le sue necessità. Il dipartimento che non era inizialmente d'accordo sulla concessione di un aiuto su base mensile sta cambiando idea e l'aiuto per le famiglie è ora più consequenziale.</w:t>
            </w:r>
          </w:p>
          <w:p w:rsidR="00336145" w:rsidRPr="00336145" w:rsidRDefault="00336145" w:rsidP="00336145">
            <w:pPr>
              <w:spacing w:after="160" w:line="259" w:lineRule="auto"/>
              <w:rPr>
                <w:rFonts w:asciiTheme="minorHAnsi" w:eastAsiaTheme="minorHAnsi" w:hAnsiTheme="minorHAnsi" w:cstheme="minorBidi"/>
                <w:b/>
                <w:color w:val="auto"/>
              </w:rPr>
            </w:pPr>
            <w:r w:rsidRPr="00336145">
              <w:rPr>
                <w:rFonts w:asciiTheme="minorHAnsi" w:eastAsiaTheme="minorHAnsi" w:hAnsiTheme="minorHAnsi" w:cstheme="minorBidi"/>
                <w:b/>
                <w:color w:val="auto"/>
              </w:rPr>
              <w:t>Distribuzione alimentare</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All'apertura del sito «Gloriette», è stata avviata una partnership tra il CCAS e il «</w:t>
            </w:r>
            <w:r w:rsidRPr="00336145">
              <w:rPr>
                <w:rFonts w:asciiTheme="minorHAnsi" w:eastAsiaTheme="minorHAnsi" w:hAnsiTheme="minorHAnsi" w:cstheme="minorBidi"/>
                <w:i/>
                <w:color w:val="auto"/>
              </w:rPr>
              <w:t>Restos du coeur</w:t>
            </w:r>
            <w:r w:rsidRPr="00336145">
              <w:rPr>
                <w:rFonts w:asciiTheme="minorHAnsi" w:eastAsiaTheme="minorHAnsi" w:hAnsiTheme="minorHAnsi" w:cstheme="minorBidi"/>
                <w:color w:val="auto"/>
              </w:rPr>
              <w:t>» al fine di garantire una distribuzione settimanale di alimenti. Il cibo distribuito proveniva dai supermercati che offrivano alimenti diversificati e di qualità. Il CCAS è responsabile dell'organizzazione della distribuzione alle migliori condizioni.</w:t>
            </w:r>
          </w:p>
          <w:p w:rsidR="00336145" w:rsidRPr="00336145" w:rsidRDefault="00336145" w:rsidP="00336145">
            <w:pPr>
              <w:spacing w:after="160" w:line="259" w:lineRule="auto"/>
              <w:rPr>
                <w:rFonts w:asciiTheme="minorHAnsi" w:eastAsiaTheme="minorHAnsi" w:hAnsiTheme="minorHAnsi" w:cstheme="minorBidi"/>
                <w:color w:val="auto"/>
              </w:rPr>
            </w:pPr>
          </w:p>
          <w:p w:rsidR="00336145" w:rsidRPr="00336145" w:rsidRDefault="00336145" w:rsidP="00336145">
            <w:pPr>
              <w:spacing w:after="160" w:line="259" w:lineRule="auto"/>
              <w:rPr>
                <w:rFonts w:asciiTheme="minorHAnsi" w:eastAsiaTheme="minorHAnsi" w:hAnsiTheme="minorHAnsi" w:cstheme="minorBidi"/>
                <w:b/>
                <w:color w:val="auto"/>
              </w:rPr>
            </w:pPr>
            <w:r w:rsidRPr="00336145">
              <w:rPr>
                <w:rFonts w:asciiTheme="minorHAnsi" w:eastAsiaTheme="minorHAnsi" w:hAnsiTheme="minorHAnsi" w:cstheme="minorBidi"/>
                <w:b/>
                <w:color w:val="auto"/>
              </w:rPr>
              <w:t>Istruzione</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La scolarizzazione dei bambini è essenziale per facilitare la loro integrazione e le procedure amministrative delle famiglie all'interno della prefettura. Dopo i tentativi non riusciti, l'assistente sociale ha adeguato il lavoro per rendere i bambini e la famiglia consapevoli dei benefici di frequentare la scuola. La barriera principale alla scuola era la mobilità. Così, alle famiglie è stato dato un "buono scuola" per incoraggiare i loro figli a frequentare più spesso la scuola.</w:t>
            </w:r>
          </w:p>
          <w:p w:rsidR="00336145" w:rsidRPr="00336145" w:rsidRDefault="00336145" w:rsidP="00336145">
            <w:pPr>
              <w:spacing w:after="160" w:line="259" w:lineRule="auto"/>
              <w:rPr>
                <w:rFonts w:asciiTheme="minorHAnsi" w:eastAsiaTheme="minorHAnsi" w:hAnsiTheme="minorHAnsi" w:cstheme="minorBidi"/>
                <w:color w:val="auto"/>
              </w:rPr>
            </w:pPr>
          </w:p>
          <w:p w:rsidR="00336145" w:rsidRPr="00336145" w:rsidRDefault="00336145" w:rsidP="00336145">
            <w:pPr>
              <w:spacing w:after="160" w:line="259" w:lineRule="auto"/>
              <w:rPr>
                <w:rFonts w:asciiTheme="minorHAnsi" w:eastAsiaTheme="minorHAnsi" w:hAnsiTheme="minorHAnsi" w:cstheme="minorBidi"/>
                <w:b/>
                <w:color w:val="auto"/>
              </w:rPr>
            </w:pPr>
            <w:r w:rsidRPr="00336145">
              <w:rPr>
                <w:rFonts w:asciiTheme="minorHAnsi" w:eastAsiaTheme="minorHAnsi" w:hAnsiTheme="minorHAnsi" w:cstheme="minorBidi"/>
                <w:b/>
                <w:color w:val="auto"/>
              </w:rPr>
              <w:t>Supervisione medica</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Un infermiere volontario della croce rossa visitava ogni settimana gli abitanti del "Gloriette site". Quando era necessario un consulto con un medico, indirizzava il paziente a uno specialista e un tirocinante andava insieme al paziente alla visita.</w:t>
            </w:r>
          </w:p>
          <w:p w:rsidR="00336145" w:rsidRPr="00336145" w:rsidRDefault="00336145" w:rsidP="00336145">
            <w:pPr>
              <w:spacing w:after="160" w:line="259" w:lineRule="auto"/>
              <w:rPr>
                <w:rFonts w:asciiTheme="minorHAnsi" w:eastAsiaTheme="minorHAnsi" w:hAnsiTheme="minorHAnsi" w:cstheme="minorBidi"/>
                <w:color w:val="auto"/>
              </w:rPr>
            </w:pPr>
          </w:p>
          <w:p w:rsidR="00336145" w:rsidRPr="00336145" w:rsidRDefault="00336145" w:rsidP="00336145">
            <w:pPr>
              <w:spacing w:after="160" w:line="259" w:lineRule="auto"/>
              <w:rPr>
                <w:rFonts w:asciiTheme="minorHAnsi" w:eastAsiaTheme="minorHAnsi" w:hAnsiTheme="minorHAnsi" w:cstheme="minorBidi"/>
                <w:b/>
                <w:color w:val="auto"/>
              </w:rPr>
            </w:pPr>
            <w:r w:rsidRPr="00336145">
              <w:rPr>
                <w:rFonts w:asciiTheme="minorHAnsi" w:eastAsiaTheme="minorHAnsi" w:hAnsiTheme="minorHAnsi" w:cstheme="minorBidi"/>
                <w:b/>
                <w:color w:val="auto"/>
              </w:rPr>
              <w:t>Mantenimento della pulizia del quartiere</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Il quartiere non era mantenuto in ordine e le norme sanitarie di base non erano rispettate. Il CCAS ha richiesto i servizi di pulizia della città per organizzare delle giornate di pulizia a cui partecipavano gli abitanti. Venivano distribuiti i prodotti di pulizia e si operava una pianificazione per la pulizia dei bungalow.</w:t>
            </w:r>
          </w:p>
        </w:tc>
      </w:tr>
      <w:tr w:rsidR="00336145" w:rsidRPr="00336145" w:rsidTr="006B3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Borders>
              <w:top w:val="dashSmallGap" w:sz="4" w:space="0" w:color="5B9BD5" w:themeColor="accent1"/>
              <w:left w:val="single" w:sz="12" w:space="0" w:color="5B9BD5" w:themeColor="accent1"/>
              <w:bottom w:val="single" w:sz="12"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b/>
                <w:color w:val="auto"/>
              </w:rPr>
            </w:pPr>
            <w:r w:rsidRPr="00336145">
              <w:rPr>
                <w:rFonts w:asciiTheme="minorHAnsi" w:eastAsiaTheme="minorHAnsi" w:hAnsiTheme="minorHAnsi" w:cstheme="minorBidi"/>
                <w:b/>
                <w:color w:val="auto"/>
              </w:rPr>
              <w:lastRenderedPageBreak/>
              <w:t>RISORSE</w:t>
            </w:r>
          </w:p>
        </w:tc>
      </w:tr>
      <w:tr w:rsidR="00336145" w:rsidRPr="00336145" w:rsidTr="006B36CF">
        <w:tc>
          <w:tcPr>
            <w:cnfStyle w:val="001000000000" w:firstRow="0" w:lastRow="0" w:firstColumn="1" w:lastColumn="0" w:oddVBand="0" w:evenVBand="0" w:oddHBand="0" w:evenHBand="0" w:firstRowFirstColumn="0" w:firstRowLastColumn="0" w:lastRowFirstColumn="0" w:lastRowLastColumn="0"/>
            <w:tcW w:w="5000" w:type="pct"/>
            <w:tcBorders>
              <w:top w:val="single" w:sz="12" w:space="0" w:color="5B9BD5" w:themeColor="accent1"/>
              <w:left w:val="single" w:sz="12" w:space="0" w:color="5B9BD5" w:themeColor="accent1"/>
              <w:bottom w:val="dashSmallGap" w:sz="4"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b/>
                <w:i/>
                <w:color w:val="auto"/>
              </w:rPr>
            </w:pPr>
            <w:r w:rsidRPr="00336145">
              <w:rPr>
                <w:rFonts w:asciiTheme="minorHAnsi" w:eastAsiaTheme="minorHAnsi" w:hAnsiTheme="minorHAnsi" w:cstheme="minorBidi"/>
                <w:b/>
                <w:i/>
                <w:color w:val="auto"/>
              </w:rPr>
              <w:t>Risorse umane del CCAS</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Direttore esecutivo per il coordinamento del sito</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Un assistente sociale a tempo parziale per la supervisione sociale dei richiedenti asilo</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Servizi tecnici per il lavoro in loco</w:t>
            </w:r>
          </w:p>
          <w:p w:rsidR="00336145" w:rsidRPr="00336145" w:rsidRDefault="00336145" w:rsidP="00336145">
            <w:pPr>
              <w:spacing w:after="160" w:line="259" w:lineRule="auto"/>
              <w:rPr>
                <w:rFonts w:asciiTheme="minorHAnsi" w:eastAsiaTheme="minorHAnsi" w:hAnsiTheme="minorHAnsi" w:cstheme="minorBidi"/>
                <w:color w:val="auto"/>
              </w:rPr>
            </w:pPr>
          </w:p>
          <w:p w:rsidR="00336145" w:rsidRPr="00336145" w:rsidRDefault="00336145" w:rsidP="00336145">
            <w:pPr>
              <w:spacing w:after="160" w:line="259" w:lineRule="auto"/>
              <w:rPr>
                <w:rFonts w:asciiTheme="minorHAnsi" w:eastAsiaTheme="minorHAnsi" w:hAnsiTheme="minorHAnsi" w:cstheme="minorBidi"/>
                <w:b/>
                <w:i/>
                <w:color w:val="auto"/>
              </w:rPr>
            </w:pPr>
            <w:r w:rsidRPr="00336145">
              <w:rPr>
                <w:rFonts w:asciiTheme="minorHAnsi" w:eastAsiaTheme="minorHAnsi" w:hAnsiTheme="minorHAnsi" w:cstheme="minorBidi"/>
                <w:b/>
                <w:i/>
                <w:color w:val="auto"/>
              </w:rPr>
              <w:lastRenderedPageBreak/>
              <w:t>Budget stimato:</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Circa 18 000 euro al mese</w:t>
            </w:r>
          </w:p>
        </w:tc>
      </w:tr>
      <w:tr w:rsidR="00336145" w:rsidRPr="00336145" w:rsidTr="006B3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Borders>
              <w:top w:val="dashSmallGap" w:sz="4" w:space="0" w:color="5B9BD5" w:themeColor="accent1"/>
              <w:left w:val="single" w:sz="12" w:space="0" w:color="5B9BD5" w:themeColor="accent1"/>
              <w:bottom w:val="single" w:sz="12"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b/>
                <w:color w:val="auto"/>
              </w:rPr>
            </w:pPr>
            <w:r w:rsidRPr="00336145">
              <w:rPr>
                <w:rFonts w:asciiTheme="minorHAnsi" w:eastAsiaTheme="minorHAnsi" w:hAnsiTheme="minorHAnsi" w:cstheme="minorBidi"/>
                <w:b/>
                <w:color w:val="auto"/>
              </w:rPr>
              <w:lastRenderedPageBreak/>
              <w:t>VALUTAZIONE</w:t>
            </w:r>
          </w:p>
        </w:tc>
      </w:tr>
      <w:tr w:rsidR="00336145" w:rsidRPr="00336145" w:rsidTr="006B36CF">
        <w:tc>
          <w:tcPr>
            <w:cnfStyle w:val="001000000000" w:firstRow="0" w:lastRow="0" w:firstColumn="1" w:lastColumn="0" w:oddVBand="0" w:evenVBand="0" w:oddHBand="0" w:evenHBand="0" w:firstRowFirstColumn="0" w:firstRowLastColumn="0" w:lastRowFirstColumn="0" w:lastRowLastColumn="0"/>
            <w:tcW w:w="5000" w:type="pct"/>
            <w:tcBorders>
              <w:left w:val="single" w:sz="12" w:space="0" w:color="5B9BD5" w:themeColor="accent1"/>
              <w:bottom w:val="dashSmallGap" w:sz="4"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La presenza permanente del CASS nel quartiere, il lavoro svolto in coordinamento con i partner operativi e il lavoro svolto dall’assistente sociale all'interno delle famiglie ha consentito di lavorare in stretta collaborazione con ogni famiglia e di conseguire progressi nella loro situazione individuale.</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Il lavoro svolto con i genitori ha permesso la scolarizzazione dei bambini e anche la chiusura del sito Gloriette e il trasferimento di tutta la popolazione alla residenza ADOMA.</w:t>
            </w:r>
          </w:p>
        </w:tc>
      </w:tr>
      <w:tr w:rsidR="00336145" w:rsidRPr="00336145" w:rsidTr="006B3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Borders>
              <w:top w:val="dashSmallGap" w:sz="4" w:space="0" w:color="5B9BD5" w:themeColor="accent1"/>
              <w:left w:val="single" w:sz="12" w:space="0" w:color="5B9BD5" w:themeColor="accent1"/>
              <w:bottom w:val="single" w:sz="12"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b/>
                <w:color w:val="auto"/>
              </w:rPr>
            </w:pPr>
            <w:r w:rsidRPr="00336145">
              <w:rPr>
                <w:rFonts w:asciiTheme="minorHAnsi" w:eastAsiaTheme="minorHAnsi" w:hAnsiTheme="minorHAnsi" w:cstheme="minorBidi"/>
                <w:b/>
                <w:color w:val="auto"/>
              </w:rPr>
              <w:t>Valutazione CCAS</w:t>
            </w:r>
          </w:p>
        </w:tc>
      </w:tr>
      <w:tr w:rsidR="00336145" w:rsidRPr="00336145" w:rsidTr="006B36CF">
        <w:tc>
          <w:tcPr>
            <w:cnfStyle w:val="001000000000" w:firstRow="0" w:lastRow="0" w:firstColumn="1" w:lastColumn="0" w:oddVBand="0" w:evenVBand="0" w:oddHBand="0" w:evenHBand="0" w:firstRowFirstColumn="0" w:firstRowLastColumn="0" w:lastRowFirstColumn="0" w:lastRowLastColumn="0"/>
            <w:tcW w:w="5000" w:type="pct"/>
            <w:tcBorders>
              <w:top w:val="single" w:sz="12" w:space="0" w:color="5B9BD5" w:themeColor="accent1"/>
              <w:left w:val="single" w:sz="12" w:space="0" w:color="5B9BD5" w:themeColor="accent1"/>
              <w:bottom w:val="single" w:sz="12"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La cura dei richiedenti asilo, in particolare con uno status specifico, non è una competenza diretta del CCAS. La mancanza di esperienza, la mancanza di conoscenza della cultura della popolazione Rom, le numerose difficoltà incontrate nella gestione del campo rom e il rilevante costo finanziario del progetto erano tutti fattori che potevano indurre a rinunciare al progetto e lasciare che le autorità competenti si prendessero cura della popolazione. Tuttavia il coinvolgimento diretto nell'azione, con i partner, ha permesso di sviluppare legami reali con la popolazione Rom. Oggi, le famiglie vivono in un alloggio collettivo senza alcuna notifica di occorrenza o addirittura lamentarsi. I bambini vanno a scuola e gli abitanti vorrebbero essere meglio integrati nell'agglomerazione in modo autonomo.</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Come prova, una famiglia ha ottenuto un permesso di soggiorno per lavoro, perché il padre ha un lavoro di lungo periodo.</w:t>
            </w:r>
          </w:p>
        </w:tc>
      </w:tr>
    </w:tbl>
    <w:p w:rsidR="00336145" w:rsidRDefault="00336145" w:rsidP="00336145"/>
    <w:p w:rsidR="00336145" w:rsidRDefault="00336145" w:rsidP="00336145"/>
    <w:p w:rsidR="005B2595" w:rsidRDefault="005B2595">
      <w:r>
        <w:br w:type="page"/>
      </w:r>
    </w:p>
    <w:tbl>
      <w:tblPr>
        <w:tblStyle w:val="Elencomedio2-Colore1"/>
        <w:tblW w:w="5000" w:type="pct"/>
        <w:tblLook w:val="04A0" w:firstRow="1" w:lastRow="0" w:firstColumn="1" w:lastColumn="0" w:noHBand="0" w:noVBand="1"/>
      </w:tblPr>
      <w:tblGrid>
        <w:gridCol w:w="9608"/>
      </w:tblGrid>
      <w:tr w:rsidR="00336145" w:rsidRPr="00336145" w:rsidTr="006B36C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000" w:type="pct"/>
            <w:tcBorders>
              <w:top w:val="single" w:sz="18" w:space="0" w:color="5B9BD5" w:themeColor="accent1"/>
              <w:left w:val="single" w:sz="12" w:space="0" w:color="5B9BD5" w:themeColor="accent1"/>
              <w:right w:val="single" w:sz="12" w:space="0" w:color="5B9BD5" w:themeColor="accent1"/>
            </w:tcBorders>
            <w:shd w:val="clear" w:color="auto" w:fill="DEEAF6" w:themeFill="accent1" w:themeFillTint="33"/>
            <w:noWrap/>
            <w:vAlign w:val="center"/>
          </w:tcPr>
          <w:p w:rsidR="00336145" w:rsidRPr="00336145" w:rsidRDefault="00336145" w:rsidP="00336145">
            <w:pPr>
              <w:spacing w:after="160" w:line="259" w:lineRule="auto"/>
              <w:rPr>
                <w:rFonts w:asciiTheme="minorHAnsi" w:eastAsiaTheme="minorHAnsi" w:hAnsiTheme="minorHAnsi" w:cstheme="minorBidi"/>
                <w:b/>
                <w:color w:val="auto"/>
                <w:sz w:val="22"/>
                <w:szCs w:val="22"/>
              </w:rPr>
            </w:pPr>
            <w:r w:rsidRPr="00336145">
              <w:lastRenderedPageBreak/>
              <w:br w:type="page"/>
            </w:r>
            <w:r w:rsidRPr="00336145">
              <w:rPr>
                <w:b/>
              </w:rPr>
              <w:t>S</w:t>
            </w:r>
            <w:r w:rsidRPr="00336145">
              <w:rPr>
                <w:rFonts w:asciiTheme="minorHAnsi" w:eastAsiaTheme="minorHAnsi" w:hAnsiTheme="minorHAnsi" w:cstheme="minorBidi"/>
                <w:b/>
                <w:color w:val="auto"/>
                <w:sz w:val="22"/>
                <w:szCs w:val="22"/>
              </w:rPr>
              <w:t>ervizi sociali per immigrati anziani</w:t>
            </w:r>
          </w:p>
          <w:p w:rsidR="00336145" w:rsidRPr="00336145" w:rsidRDefault="00336145" w:rsidP="00336145">
            <w:pPr>
              <w:spacing w:after="160" w:line="259" w:lineRule="auto"/>
              <w:rPr>
                <w:rFonts w:asciiTheme="minorHAnsi" w:eastAsiaTheme="minorHAnsi" w:hAnsiTheme="minorHAnsi" w:cstheme="minorBidi"/>
                <w:b/>
                <w:color w:val="auto"/>
                <w:sz w:val="22"/>
                <w:szCs w:val="22"/>
              </w:rPr>
            </w:pPr>
            <w:r w:rsidRPr="00336145">
              <w:rPr>
                <w:rFonts w:asciiTheme="minorHAnsi" w:eastAsiaTheme="minorHAnsi" w:hAnsiTheme="minorHAnsi" w:cstheme="minorBidi"/>
                <w:b/>
                <w:color w:val="auto"/>
                <w:sz w:val="22"/>
                <w:szCs w:val="22"/>
              </w:rPr>
              <w:t xml:space="preserve">                                                                                                        Francia     CCAS Clermont Ferrand      </w:t>
            </w:r>
          </w:p>
          <w:p w:rsidR="00336145" w:rsidRPr="00336145" w:rsidRDefault="00336145" w:rsidP="00336145">
            <w:pPr>
              <w:spacing w:after="160" w:line="259" w:lineRule="auto"/>
              <w:rPr>
                <w:rFonts w:asciiTheme="minorHAnsi" w:eastAsiaTheme="minorHAnsi" w:hAnsiTheme="minorHAnsi" w:cstheme="minorBidi"/>
                <w:b/>
                <w:color w:val="auto"/>
                <w:sz w:val="22"/>
                <w:szCs w:val="22"/>
              </w:rPr>
            </w:pPr>
            <w:r w:rsidRPr="00336145">
              <w:rPr>
                <w:rFonts w:asciiTheme="minorHAnsi" w:eastAsiaTheme="minorHAnsi" w:hAnsiTheme="minorHAnsi" w:cstheme="minorBidi"/>
                <w:b/>
                <w:color w:val="auto"/>
                <w:sz w:val="22"/>
                <w:szCs w:val="22"/>
              </w:rPr>
              <w:t xml:space="preserve">                                                                                              </w:t>
            </w:r>
          </w:p>
        </w:tc>
      </w:tr>
      <w:tr w:rsidR="00336145" w:rsidRPr="00336145" w:rsidTr="006B3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Borders>
              <w:top w:val="single" w:sz="24" w:space="0" w:color="5B9BD5" w:themeColor="accent1"/>
              <w:left w:val="single" w:sz="12" w:space="0" w:color="5B9BD5" w:themeColor="accent1"/>
              <w:bottom w:val="single" w:sz="12"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b/>
                <w:color w:val="auto"/>
              </w:rPr>
              <w:t>Contesto</w:t>
            </w:r>
          </w:p>
        </w:tc>
      </w:tr>
      <w:tr w:rsidR="00336145" w:rsidRPr="00336145" w:rsidTr="006B36CF">
        <w:tc>
          <w:tcPr>
            <w:cnfStyle w:val="001000000000" w:firstRow="0" w:lastRow="0" w:firstColumn="1" w:lastColumn="0" w:oddVBand="0" w:evenVBand="0" w:oddHBand="0" w:evenHBand="0" w:firstRowFirstColumn="0" w:firstRowLastColumn="0" w:lastRowFirstColumn="0" w:lastRowLastColumn="0"/>
            <w:tcW w:w="5000" w:type="pct"/>
            <w:tcBorders>
              <w:top w:val="single" w:sz="12" w:space="0" w:color="5B9BD5" w:themeColor="accent1"/>
              <w:left w:val="single" w:sz="12" w:space="0" w:color="5B9BD5" w:themeColor="accent1"/>
              <w:bottom w:val="dashSmallGap" w:sz="4"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Il progetto sorge da un'idea di un distretto situato nel Centro della città nell'ambito di un contratto di periferia che comprendeva diversi partner come: la città, l'OPAC (agenzia per l'alloggio), il servizi per la gioventù e il tempo libero, il comitato di collegamento per gli inter-servizi migranti (Auvergne), il CCAS.</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Sono state organizzate molte azioni e in particolare un progetto per la popolazione anziana immigrata con problemi specifici: amministrativi, abitativi, di salute, di solitudine, di comunicazione.</w:t>
            </w:r>
          </w:p>
        </w:tc>
      </w:tr>
      <w:tr w:rsidR="00336145" w:rsidRPr="00336145" w:rsidTr="006B3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Borders>
              <w:top w:val="dashSmallGap" w:sz="4" w:space="0" w:color="5B9BD5" w:themeColor="accent1"/>
              <w:left w:val="single" w:sz="12" w:space="0" w:color="5B9BD5" w:themeColor="accent1"/>
              <w:bottom w:val="single" w:sz="12"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b/>
                <w:color w:val="auto"/>
              </w:rPr>
            </w:pPr>
            <w:r w:rsidRPr="00336145">
              <w:rPr>
                <w:rFonts w:asciiTheme="minorHAnsi" w:eastAsiaTheme="minorHAnsi" w:hAnsiTheme="minorHAnsi" w:cstheme="minorBidi"/>
                <w:b/>
                <w:color w:val="auto"/>
              </w:rPr>
              <w:t>Descrizione</w:t>
            </w:r>
          </w:p>
        </w:tc>
      </w:tr>
      <w:tr w:rsidR="00336145" w:rsidRPr="00336145" w:rsidTr="006B36CF">
        <w:tc>
          <w:tcPr>
            <w:cnfStyle w:val="001000000000" w:firstRow="0" w:lastRow="0" w:firstColumn="1" w:lastColumn="0" w:oddVBand="0" w:evenVBand="0" w:oddHBand="0" w:evenHBand="0" w:firstRowFirstColumn="0" w:firstRowLastColumn="0" w:lastRowFirstColumn="0" w:lastRowLastColumn="0"/>
            <w:tcW w:w="5000" w:type="pct"/>
            <w:tcBorders>
              <w:top w:val="single" w:sz="12" w:space="0" w:color="5B9BD5" w:themeColor="accent1"/>
              <w:left w:val="single" w:sz="12" w:space="0" w:color="5B9BD5" w:themeColor="accent1"/>
              <w:bottom w:val="dashSmallGap" w:sz="4"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Questi servizi specializzati sono stati creati per dare una risposta alle esigenze particolari della popolazione immigrata anziana alla quale i servizi comuni non erano in grado di fornire soluzioni adeguate alle loro specifiche esigenze. Il tutoraggio della popolazione, la maggior parte della quale parlava arabo, ha richiesto più ore di tutoraggio personalizzato. Esso consiste infatti nell’occuparsi delle differenze culturali connesse alla lingua ma anche di altri aspetti della loro vita quotidiana e di utilizzare una comunicazione adeguata.</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Il servizio comprende:</w:t>
            </w:r>
          </w:p>
          <w:p w:rsidR="00336145" w:rsidRPr="00336145" w:rsidRDefault="00336145" w:rsidP="00336145">
            <w:pPr>
              <w:numPr>
                <w:ilvl w:val="0"/>
                <w:numId w:val="2"/>
              </w:num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Un periodo di lavoro settimanale con un assistente sociale e un traduttore sociale;</w:t>
            </w:r>
          </w:p>
          <w:p w:rsidR="00336145" w:rsidRPr="00336145" w:rsidRDefault="00336145" w:rsidP="00336145">
            <w:pPr>
              <w:numPr>
                <w:ilvl w:val="0"/>
                <w:numId w:val="2"/>
              </w:num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Un evento settimanale amichevole per condividere una tazza di tè. Il tè appartiene a diverse tradizioni culturali ed è riconosciuto da tutti quale modalità idonea ad interrompere la solitudine e a sviluppare relazioni di amicizia. Tramite un tea break è possibile stabilire una reciproca comprensione e fiducia.</w:t>
            </w:r>
          </w:p>
          <w:p w:rsidR="00336145" w:rsidRPr="00336145" w:rsidRDefault="00336145" w:rsidP="00336145">
            <w:pPr>
              <w:numPr>
                <w:ilvl w:val="0"/>
                <w:numId w:val="2"/>
              </w:num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Alcune attività nel tempo libero (partecipazione alla "settimana blu" un appuntamento speciale dedicato a persone anziane in Francia, incontri con altri pensionati e così via) producono benefici nella vita delle persone anziane interrompendo la solitudine e portandoli fuori dalla loro casa.</w:t>
            </w:r>
          </w:p>
          <w:p w:rsidR="00336145" w:rsidRPr="00336145" w:rsidRDefault="00336145" w:rsidP="00336145">
            <w:pPr>
              <w:numPr>
                <w:ilvl w:val="0"/>
                <w:numId w:val="2"/>
              </w:num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Un tutoraggio in tre aree principali: aiuto con le procedure amministrative (pensionamento, assistenza medica, tasse, assicurazioni sanitarie e così via), salute (tutoraggio nella cura, appuntamento con un medico, lettura della prescrizione medica e così via. )</w:t>
            </w:r>
          </w:p>
          <w:p w:rsidR="00336145" w:rsidRPr="00336145" w:rsidRDefault="00336145" w:rsidP="00336145">
            <w:pPr>
              <w:spacing w:after="160" w:line="259" w:lineRule="auto"/>
              <w:rPr>
                <w:rFonts w:asciiTheme="minorHAnsi" w:eastAsiaTheme="minorHAnsi" w:hAnsiTheme="minorHAnsi" w:cstheme="minorBidi"/>
                <w:color w:val="auto"/>
              </w:rPr>
            </w:pP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I problemi incontrati dalla popolazione in termini di alloggio sono specificamente legati alle loro abitudini di vita. Questa popolazione è in maggioranza composta da uomini, che vivono da soli in Francia e separati dalla loro famiglia che ancora vive nel loro paese nativo. Quando arriva l'età del pensionamento, di solito vivono in un dormitorio che non è adatto ai loro bisogni (per salubrità, spazio e così via). Allo stesso tempo, non hanno abbastanza mezzi per pagare un affitto più elevato e di solito hanno altre spese nel loro paese natale. Vivono spesso negli ostelli dei lavoratori immigrati.</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 xml:space="preserve">Tali condizioni di vita (in due paesi) rendono difficile assicurare un follow-up nelle varie procedure. </w:t>
            </w:r>
          </w:p>
        </w:tc>
      </w:tr>
      <w:tr w:rsidR="00336145" w:rsidRPr="00336145" w:rsidTr="006B3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Borders>
              <w:top w:val="dashSmallGap" w:sz="4" w:space="0" w:color="5B9BD5" w:themeColor="accent1"/>
              <w:left w:val="single" w:sz="12" w:space="0" w:color="5B9BD5" w:themeColor="accent1"/>
              <w:bottom w:val="single" w:sz="12"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b/>
                <w:color w:val="auto"/>
              </w:rPr>
            </w:pPr>
            <w:r w:rsidRPr="00336145">
              <w:rPr>
                <w:rFonts w:asciiTheme="minorHAnsi" w:eastAsiaTheme="minorHAnsi" w:hAnsiTheme="minorHAnsi" w:cstheme="minorBidi"/>
                <w:b/>
                <w:color w:val="auto"/>
              </w:rPr>
              <w:t>RISORSE UMANE</w:t>
            </w:r>
          </w:p>
        </w:tc>
      </w:tr>
      <w:tr w:rsidR="00336145" w:rsidRPr="00336145" w:rsidTr="006B36CF">
        <w:tc>
          <w:tcPr>
            <w:cnfStyle w:val="001000000000" w:firstRow="0" w:lastRow="0" w:firstColumn="1" w:lastColumn="0" w:oddVBand="0" w:evenVBand="0" w:oddHBand="0" w:evenHBand="0" w:firstRowFirstColumn="0" w:firstRowLastColumn="0" w:lastRowFirstColumn="0" w:lastRowLastColumn="0"/>
            <w:tcW w:w="5000" w:type="pct"/>
            <w:tcBorders>
              <w:top w:val="single" w:sz="12" w:space="0" w:color="5B9BD5" w:themeColor="accent1"/>
              <w:left w:val="single" w:sz="12" w:space="0" w:color="5B9BD5" w:themeColor="accent1"/>
              <w:bottom w:val="dashSmallGap" w:sz="4"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b/>
                <w:color w:val="auto"/>
              </w:rPr>
            </w:pPr>
            <w:r w:rsidRPr="00336145">
              <w:rPr>
                <w:rFonts w:asciiTheme="minorHAnsi" w:eastAsiaTheme="minorHAnsi" w:hAnsiTheme="minorHAnsi" w:cstheme="minorBidi"/>
                <w:color w:val="auto"/>
              </w:rPr>
              <w:lastRenderedPageBreak/>
              <w:t>Un assistente sociale, un consulente sociale (traduttore) e un assistente amministrativo.</w:t>
            </w:r>
          </w:p>
        </w:tc>
      </w:tr>
      <w:tr w:rsidR="00336145" w:rsidRPr="00336145" w:rsidTr="006B3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Borders>
              <w:top w:val="dashSmallGap" w:sz="4" w:space="0" w:color="5B9BD5" w:themeColor="accent1"/>
              <w:left w:val="single" w:sz="12" w:space="0" w:color="5B9BD5" w:themeColor="accent1"/>
              <w:bottom w:val="dashSmallGap" w:sz="4"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b/>
                <w:color w:val="auto"/>
              </w:rPr>
            </w:pPr>
            <w:r w:rsidRPr="00336145">
              <w:rPr>
                <w:rFonts w:asciiTheme="minorHAnsi" w:eastAsiaTheme="minorHAnsi" w:hAnsiTheme="minorHAnsi" w:cstheme="minorBidi"/>
                <w:b/>
                <w:color w:val="auto"/>
              </w:rPr>
              <w:t>VALUTAZIONE</w:t>
            </w:r>
          </w:p>
        </w:tc>
      </w:tr>
      <w:tr w:rsidR="00336145" w:rsidRPr="00336145" w:rsidTr="006B36CF">
        <w:tc>
          <w:tcPr>
            <w:cnfStyle w:val="001000000000" w:firstRow="0" w:lastRow="0" w:firstColumn="1" w:lastColumn="0" w:oddVBand="0" w:evenVBand="0" w:oddHBand="0" w:evenHBand="0" w:firstRowFirstColumn="0" w:firstRowLastColumn="0" w:lastRowFirstColumn="0" w:lastRowLastColumn="0"/>
            <w:tcW w:w="5000" w:type="pct"/>
            <w:tcBorders>
              <w:top w:val="dashSmallGap" w:sz="4" w:space="0" w:color="5B9BD5" w:themeColor="accent1"/>
              <w:left w:val="single" w:sz="12" w:space="0" w:color="5B9BD5" w:themeColor="accent1"/>
              <w:bottom w:val="dashSmallGap" w:sz="4"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Anche se questa popolazione ha sempre lavorato, continua a vivere ai margini della società (problemi linguistici, due diverse vite in Francia e nel loro paese natale e così via), l'invecchiamento amplifica il problema della solitudine.</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A causa dell'invecchiamento della popolazione, le visite ai servizi sono aumentate ogni anno;</w:t>
            </w:r>
          </w:p>
          <w:p w:rsidR="00336145" w:rsidRPr="00336145" w:rsidRDefault="00336145" w:rsidP="00336145">
            <w:pPr>
              <w:spacing w:after="160" w:line="259" w:lineRule="auto"/>
              <w:rPr>
                <w:rFonts w:asciiTheme="minorHAnsi" w:eastAsiaTheme="minorHAnsi" w:hAnsiTheme="minorHAnsi" w:cstheme="minorBidi"/>
                <w:b/>
                <w:color w:val="auto"/>
              </w:rPr>
            </w:pP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b/>
                <w:color w:val="auto"/>
              </w:rPr>
              <w:t>Aspetti negativi</w:t>
            </w:r>
            <w:r w:rsidRPr="00336145">
              <w:rPr>
                <w:rFonts w:asciiTheme="minorHAnsi" w:eastAsiaTheme="minorHAnsi" w:hAnsiTheme="minorHAnsi" w:cstheme="minorBidi"/>
                <w:color w:val="auto"/>
              </w:rPr>
              <w:t>: troppe persone durante il periodo di benvenuto</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b/>
                <w:color w:val="auto"/>
              </w:rPr>
              <w:t>Aspetti positivi</w:t>
            </w:r>
            <w:r w:rsidRPr="00336145">
              <w:rPr>
                <w:rFonts w:asciiTheme="minorHAnsi" w:eastAsiaTheme="minorHAnsi" w:hAnsiTheme="minorHAnsi" w:cstheme="minorBidi"/>
                <w:color w:val="auto"/>
              </w:rPr>
              <w:t>: il luogo è conosciuto dalla popolazione, la frequenza delle visite regolare e la presenza di un traduttore aiuta e incoraggia la comunicazione. Le soluzioni per risolvere i problemi dell'alloggio solitamente migliorano le condizioni di vita e risolvono anche altri problemi connessi (salute, cura della casa e così via).</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Il servizio è anche un'occasione per rilevare le esigenze. Le informazioni raccolte durante le interviste consentono di definire una lista delle difficoltà e una migliore conoscenza di questa popolazione discreta e non facilmente identificabile.</w:t>
            </w:r>
          </w:p>
        </w:tc>
      </w:tr>
      <w:tr w:rsidR="00336145" w:rsidRPr="00336145" w:rsidTr="006B3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Borders>
              <w:top w:val="dashSmallGap" w:sz="4" w:space="0" w:color="5B9BD5" w:themeColor="accent1"/>
              <w:left w:val="single" w:sz="12" w:space="0" w:color="5B9BD5" w:themeColor="accent1"/>
              <w:bottom w:val="single" w:sz="12"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b/>
                <w:color w:val="auto"/>
              </w:rPr>
            </w:pPr>
            <w:r w:rsidRPr="00336145">
              <w:rPr>
                <w:rFonts w:asciiTheme="minorHAnsi" w:eastAsiaTheme="minorHAnsi" w:hAnsiTheme="minorHAnsi" w:cstheme="minorBidi"/>
                <w:b/>
                <w:color w:val="auto"/>
              </w:rPr>
              <w:t>Valutazione CCAS</w:t>
            </w:r>
          </w:p>
        </w:tc>
      </w:tr>
      <w:tr w:rsidR="00336145" w:rsidRPr="00336145" w:rsidTr="006B36CF">
        <w:tc>
          <w:tcPr>
            <w:cnfStyle w:val="001000000000" w:firstRow="0" w:lastRow="0" w:firstColumn="1" w:lastColumn="0" w:oddVBand="0" w:evenVBand="0" w:oddHBand="0" w:evenHBand="0" w:firstRowFirstColumn="0" w:firstRowLastColumn="0" w:lastRowFirstColumn="0" w:lastRowLastColumn="0"/>
            <w:tcW w:w="5000" w:type="pct"/>
            <w:tcBorders>
              <w:top w:val="single" w:sz="12" w:space="0" w:color="5B9BD5" w:themeColor="accent1"/>
              <w:left w:val="single" w:sz="12" w:space="0" w:color="5B9BD5" w:themeColor="accent1"/>
              <w:bottom w:val="dashSmallGap" w:sz="4"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L’incremento del numero di visite ai servizi sociali evidenzia la necessità di tutoraggio/accompagnamento di questa popolazione. Il lavoro comune dell’assistente sociale e del traduttore è un vantaggio. L'accoglienza e l'insegnamento specifico sono adattati alle esigenze, e danno risultati migliori. Grazie a questa offerta di servizi, il comune è in grado di avere una migliore conoscenza della sua popolazione immigrata.</w:t>
            </w:r>
          </w:p>
        </w:tc>
      </w:tr>
      <w:tr w:rsidR="00336145" w:rsidRPr="00336145" w:rsidTr="006B3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Borders>
              <w:top w:val="dashSmallGap" w:sz="4" w:space="0" w:color="5B9BD5" w:themeColor="accent1"/>
              <w:left w:val="single" w:sz="12" w:space="0" w:color="5B9BD5" w:themeColor="accent1"/>
              <w:bottom w:val="single" w:sz="12"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b/>
                <w:color w:val="auto"/>
              </w:rPr>
              <w:t>Gruppi target</w:t>
            </w:r>
            <w:r w:rsidRPr="00336145">
              <w:rPr>
                <w:rFonts w:asciiTheme="minorHAnsi" w:eastAsiaTheme="minorHAnsi" w:hAnsiTheme="minorHAnsi" w:cstheme="minorBidi"/>
                <w:color w:val="auto"/>
              </w:rPr>
              <w:t xml:space="preserve"> </w:t>
            </w:r>
          </w:p>
        </w:tc>
      </w:tr>
      <w:tr w:rsidR="00336145" w:rsidRPr="00336145" w:rsidTr="006B36CF">
        <w:tc>
          <w:tcPr>
            <w:cnfStyle w:val="001000000000" w:firstRow="0" w:lastRow="0" w:firstColumn="1" w:lastColumn="0" w:oddVBand="0" w:evenVBand="0" w:oddHBand="0" w:evenHBand="0" w:firstRowFirstColumn="0" w:firstRowLastColumn="0" w:lastRowFirstColumn="0" w:lastRowLastColumn="0"/>
            <w:tcW w:w="5000" w:type="pct"/>
            <w:tcBorders>
              <w:top w:val="single" w:sz="12" w:space="0" w:color="5B9BD5" w:themeColor="accent1"/>
              <w:left w:val="single" w:sz="12" w:space="0" w:color="5B9BD5" w:themeColor="accent1"/>
              <w:bottom w:val="single" w:sz="12"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Famiglie immigrate</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 xml:space="preserve">Persone anziane </w:t>
            </w:r>
          </w:p>
        </w:tc>
      </w:tr>
    </w:tbl>
    <w:p w:rsidR="00336145" w:rsidRPr="00336145" w:rsidRDefault="00336145" w:rsidP="00336145">
      <w:pPr>
        <w:rPr>
          <w:b/>
        </w:rPr>
      </w:pPr>
    </w:p>
    <w:p w:rsidR="005B2595" w:rsidRDefault="005B2595">
      <w:pPr>
        <w:rPr>
          <w:b/>
        </w:rPr>
      </w:pPr>
      <w:r>
        <w:rPr>
          <w:b/>
        </w:rPr>
        <w:br w:type="page"/>
      </w:r>
    </w:p>
    <w:tbl>
      <w:tblPr>
        <w:tblStyle w:val="Elencomedio2-Colore1"/>
        <w:tblW w:w="5000" w:type="pct"/>
        <w:tblLook w:val="04A0" w:firstRow="1" w:lastRow="0" w:firstColumn="1" w:lastColumn="0" w:noHBand="0" w:noVBand="1"/>
      </w:tblPr>
      <w:tblGrid>
        <w:gridCol w:w="9608"/>
      </w:tblGrid>
      <w:tr w:rsidR="00336145" w:rsidRPr="00336145" w:rsidTr="006B36C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000" w:type="pct"/>
            <w:tcBorders>
              <w:top w:val="single" w:sz="18" w:space="0" w:color="5B9BD5" w:themeColor="accent1"/>
              <w:left w:val="single" w:sz="12" w:space="0" w:color="5B9BD5" w:themeColor="accent1"/>
              <w:right w:val="single" w:sz="12" w:space="0" w:color="5B9BD5" w:themeColor="accent1"/>
            </w:tcBorders>
            <w:shd w:val="clear" w:color="auto" w:fill="DEEAF6" w:themeFill="accent1" w:themeFillTint="33"/>
            <w:noWrap/>
            <w:vAlign w:val="center"/>
          </w:tcPr>
          <w:p w:rsidR="00336145" w:rsidRPr="00336145" w:rsidRDefault="00336145" w:rsidP="00336145">
            <w:pPr>
              <w:spacing w:after="160" w:line="259" w:lineRule="auto"/>
              <w:rPr>
                <w:rFonts w:asciiTheme="minorHAnsi" w:eastAsiaTheme="minorHAnsi" w:hAnsiTheme="minorHAnsi" w:cstheme="minorBidi"/>
                <w:b/>
                <w:color w:val="auto"/>
                <w:sz w:val="22"/>
                <w:szCs w:val="22"/>
              </w:rPr>
            </w:pPr>
          </w:p>
          <w:p w:rsidR="00336145" w:rsidRPr="00336145" w:rsidRDefault="00336145" w:rsidP="00336145">
            <w:pPr>
              <w:spacing w:after="160" w:line="259" w:lineRule="auto"/>
              <w:rPr>
                <w:rFonts w:asciiTheme="minorHAnsi" w:eastAsiaTheme="minorHAnsi" w:hAnsiTheme="minorHAnsi" w:cstheme="minorBidi"/>
                <w:b/>
                <w:color w:val="auto"/>
                <w:sz w:val="22"/>
                <w:szCs w:val="22"/>
              </w:rPr>
            </w:pPr>
            <w:r w:rsidRPr="00336145">
              <w:rPr>
                <w:rFonts w:asciiTheme="minorHAnsi" w:eastAsiaTheme="minorHAnsi" w:hAnsiTheme="minorHAnsi" w:cstheme="minorBidi"/>
                <w:b/>
                <w:i/>
                <w:color w:val="auto"/>
                <w:sz w:val="22"/>
                <w:szCs w:val="22"/>
              </w:rPr>
              <w:t xml:space="preserve">Eurocarers </w:t>
            </w:r>
            <w:r w:rsidRPr="00336145">
              <w:rPr>
                <w:rFonts w:asciiTheme="minorHAnsi" w:eastAsiaTheme="minorHAnsi" w:hAnsiTheme="minorHAnsi" w:cstheme="minorBidi"/>
                <w:b/>
                <w:color w:val="auto"/>
                <w:sz w:val="22"/>
                <w:szCs w:val="22"/>
              </w:rPr>
              <w:t xml:space="preserve">- Associazione europea che lavora per i </w:t>
            </w:r>
            <w:r w:rsidRPr="00336145">
              <w:rPr>
                <w:rFonts w:asciiTheme="minorHAnsi" w:eastAsiaTheme="minorHAnsi" w:hAnsiTheme="minorHAnsi" w:cstheme="minorBidi"/>
                <w:b/>
                <w:i/>
                <w:color w:val="auto"/>
                <w:sz w:val="22"/>
                <w:szCs w:val="22"/>
              </w:rPr>
              <w:t>caregivers</w:t>
            </w:r>
          </w:p>
          <w:p w:rsidR="00336145" w:rsidRPr="00336145" w:rsidRDefault="00336145" w:rsidP="00336145">
            <w:pPr>
              <w:spacing w:after="160" w:line="259" w:lineRule="auto"/>
              <w:rPr>
                <w:rFonts w:asciiTheme="minorHAnsi" w:eastAsiaTheme="minorHAnsi" w:hAnsiTheme="minorHAnsi" w:cstheme="minorBidi"/>
                <w:b/>
                <w:color w:val="auto"/>
                <w:sz w:val="22"/>
                <w:szCs w:val="22"/>
              </w:rPr>
            </w:pPr>
            <w:r w:rsidRPr="00336145">
              <w:rPr>
                <w:rFonts w:asciiTheme="minorHAnsi" w:eastAsiaTheme="minorHAnsi" w:hAnsiTheme="minorHAnsi" w:cstheme="minorBidi"/>
                <w:b/>
                <w:color w:val="auto"/>
                <w:sz w:val="22"/>
                <w:szCs w:val="22"/>
              </w:rPr>
              <w:t xml:space="preserve">                                                                                                                            Programma EaSI                                                                                                        </w:t>
            </w:r>
          </w:p>
          <w:p w:rsidR="00336145" w:rsidRPr="00336145" w:rsidRDefault="00336145" w:rsidP="00336145">
            <w:pPr>
              <w:spacing w:after="160" w:line="259" w:lineRule="auto"/>
              <w:rPr>
                <w:rFonts w:asciiTheme="minorHAnsi" w:eastAsiaTheme="minorHAnsi" w:hAnsiTheme="minorHAnsi" w:cstheme="minorBidi"/>
                <w:b/>
                <w:color w:val="auto"/>
                <w:sz w:val="22"/>
                <w:szCs w:val="22"/>
              </w:rPr>
            </w:pPr>
            <w:r w:rsidRPr="00336145">
              <w:rPr>
                <w:rFonts w:asciiTheme="minorHAnsi" w:eastAsiaTheme="minorHAnsi" w:hAnsiTheme="minorHAnsi" w:cstheme="minorBidi"/>
                <w:b/>
                <w:color w:val="auto"/>
                <w:sz w:val="22"/>
                <w:szCs w:val="22"/>
              </w:rPr>
              <w:t xml:space="preserve">                                                                                              </w:t>
            </w:r>
          </w:p>
        </w:tc>
      </w:tr>
      <w:tr w:rsidR="00336145" w:rsidRPr="00336145" w:rsidTr="006B3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Borders>
              <w:top w:val="single" w:sz="24" w:space="0" w:color="5B9BD5" w:themeColor="accent1"/>
              <w:left w:val="single" w:sz="12" w:space="0" w:color="5B9BD5" w:themeColor="accent1"/>
              <w:bottom w:val="single" w:sz="12"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b/>
                <w:color w:val="auto"/>
              </w:rPr>
              <w:t>Contesto</w:t>
            </w:r>
          </w:p>
        </w:tc>
      </w:tr>
      <w:tr w:rsidR="00336145" w:rsidRPr="00336145" w:rsidTr="006B36CF">
        <w:tc>
          <w:tcPr>
            <w:cnfStyle w:val="001000000000" w:firstRow="0" w:lastRow="0" w:firstColumn="1" w:lastColumn="0" w:oddVBand="0" w:evenVBand="0" w:oddHBand="0" w:evenHBand="0" w:firstRowFirstColumn="0" w:firstRowLastColumn="0" w:lastRowFirstColumn="0" w:lastRowLastColumn="0"/>
            <w:tcW w:w="5000" w:type="pct"/>
            <w:tcBorders>
              <w:top w:val="single" w:sz="12" w:space="0" w:color="5B9BD5" w:themeColor="accent1"/>
              <w:left w:val="single" w:sz="12" w:space="0" w:color="5B9BD5" w:themeColor="accent1"/>
              <w:bottom w:val="dashSmallGap" w:sz="4"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 xml:space="preserve">Oggi vi sono più di 100 milioni di assistenti informali nell'UE e il loro numero probabilmente aumenterà a causa dell'invecchiamento demografico. Gli assistenti informali in tutta l'UE forniscono oltre l'80% di tutte le cure, con le donne che forniscono circa due terzi di esso. Il valore economico delle cure informali non retribuite è enorme. Negli Stati membri dell'UE la sua quota varia dal 50% al 90%. del costo complessivo delle prestazioni formali di lungo periodo Essendo una parte significativa della fornitura, dell'organizzazione e della sostenibilità dei sistemi sanitari e sociali, le </w:t>
            </w:r>
            <w:r w:rsidRPr="00336145">
              <w:rPr>
                <w:rFonts w:asciiTheme="minorHAnsi" w:eastAsiaTheme="minorHAnsi" w:hAnsiTheme="minorHAnsi" w:cstheme="minorBidi"/>
                <w:i/>
                <w:color w:val="auto"/>
              </w:rPr>
              <w:t>caregivers</w:t>
            </w:r>
            <w:r w:rsidRPr="00336145">
              <w:rPr>
                <w:rFonts w:asciiTheme="minorHAnsi" w:eastAsiaTheme="minorHAnsi" w:hAnsiTheme="minorHAnsi" w:cstheme="minorBidi"/>
                <w:color w:val="auto"/>
              </w:rPr>
              <w:t xml:space="preserve"> spesso soffrono di danni fisici e psichici, incontrano difficoltà nel bilanciare le responsabilità di cura con il lavoro retribuito, con i processi di socializzazione naturale, con l'istruzione formale, con le relazioni familiari e le prospettive di occupazione, specialmente le giovani assistenti.</w:t>
            </w:r>
          </w:p>
        </w:tc>
      </w:tr>
      <w:tr w:rsidR="00336145" w:rsidRPr="00336145" w:rsidTr="006B3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Borders>
              <w:top w:val="dashSmallGap" w:sz="4" w:space="0" w:color="5B9BD5" w:themeColor="accent1"/>
              <w:left w:val="single" w:sz="12" w:space="0" w:color="5B9BD5" w:themeColor="accent1"/>
              <w:bottom w:val="single" w:sz="12"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b/>
                <w:color w:val="auto"/>
              </w:rPr>
              <w:t>Descrizione</w:t>
            </w:r>
          </w:p>
        </w:tc>
      </w:tr>
      <w:tr w:rsidR="00336145" w:rsidRPr="00336145" w:rsidTr="006B36CF">
        <w:tc>
          <w:tcPr>
            <w:cnfStyle w:val="001000000000" w:firstRow="0" w:lastRow="0" w:firstColumn="1" w:lastColumn="0" w:oddVBand="0" w:evenVBand="0" w:oddHBand="0" w:evenHBand="0" w:firstRowFirstColumn="0" w:firstRowLastColumn="0" w:lastRowFirstColumn="0" w:lastRowLastColumn="0"/>
            <w:tcW w:w="5000" w:type="pct"/>
            <w:tcBorders>
              <w:top w:val="single" w:sz="12" w:space="0" w:color="5B9BD5" w:themeColor="accent1"/>
              <w:left w:val="single" w:sz="12" w:space="0" w:color="5B9BD5" w:themeColor="accent1"/>
              <w:bottom w:val="dashSmallGap" w:sz="4"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L'azione intitolata "Affrontare le esigenze dei lavoratori informali in tutta l'UE con particolare riferimento all'inclusione sociale, alla riduzione della povertà e allo sviluppo di sistemi di assistenza di lungo periodo sostenibili e inclusivi in Europa" mirava a promuovere la questione delle cure informali a livello nazionale e comunitario.</w:t>
            </w:r>
          </w:p>
          <w:p w:rsidR="00336145" w:rsidRDefault="00336145" w:rsidP="00336145">
            <w:pPr>
              <w:spacing w:after="160" w:line="259" w:lineRule="auto"/>
              <w:rPr>
                <w:rFonts w:asciiTheme="minorHAnsi" w:eastAsiaTheme="minorHAnsi" w:hAnsiTheme="minorHAnsi" w:cstheme="minorBidi"/>
                <w:color w:val="auto"/>
              </w:rPr>
            </w:pPr>
          </w:p>
          <w:p w:rsidR="00336145" w:rsidRPr="00336145" w:rsidRDefault="00336145" w:rsidP="00336145">
            <w:pPr>
              <w:spacing w:after="160" w:line="259" w:lineRule="auto"/>
              <w:rPr>
                <w:rFonts w:asciiTheme="minorHAnsi" w:eastAsiaTheme="minorHAnsi" w:hAnsiTheme="minorHAnsi" w:cstheme="minorBidi"/>
                <w:color w:val="auto"/>
              </w:rPr>
            </w:pPr>
          </w:p>
          <w:p w:rsidR="00336145" w:rsidRPr="00336145" w:rsidRDefault="00336145" w:rsidP="00336145">
            <w:pPr>
              <w:spacing w:after="160" w:line="259" w:lineRule="auto"/>
              <w:rPr>
                <w:rFonts w:asciiTheme="minorHAnsi" w:eastAsiaTheme="minorHAnsi" w:hAnsiTheme="minorHAnsi" w:cstheme="minorBidi"/>
                <w:b/>
                <w:color w:val="auto"/>
              </w:rPr>
            </w:pPr>
            <w:r w:rsidRPr="00336145">
              <w:rPr>
                <w:rFonts w:asciiTheme="minorHAnsi" w:eastAsiaTheme="minorHAnsi" w:hAnsiTheme="minorHAnsi" w:cstheme="minorBidi"/>
                <w:b/>
                <w:color w:val="auto"/>
              </w:rPr>
              <w:t xml:space="preserve">Azioni </w:t>
            </w:r>
          </w:p>
          <w:p w:rsidR="00336145" w:rsidRPr="00336145" w:rsidRDefault="00336145" w:rsidP="00336145">
            <w:pPr>
              <w:numPr>
                <w:ilvl w:val="0"/>
                <w:numId w:val="4"/>
              </w:num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Sviluppo di basi di dati quantitativi e qualitativi di nuova concezione;</w:t>
            </w:r>
          </w:p>
          <w:p w:rsidR="00336145" w:rsidRPr="00336145" w:rsidRDefault="00336145" w:rsidP="00336145">
            <w:pPr>
              <w:numPr>
                <w:ilvl w:val="0"/>
                <w:numId w:val="4"/>
              </w:num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Predisposizione di rapporti: indagini, studi, analisi e competenze;</w:t>
            </w:r>
          </w:p>
          <w:p w:rsidR="00336145" w:rsidRPr="00336145" w:rsidRDefault="00336145" w:rsidP="00336145">
            <w:pPr>
              <w:numPr>
                <w:ilvl w:val="0"/>
                <w:numId w:val="4"/>
              </w:num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Predisposizione rapporti di valutazione;</w:t>
            </w:r>
          </w:p>
          <w:p w:rsidR="00336145" w:rsidRPr="00336145" w:rsidRDefault="00336145" w:rsidP="00336145">
            <w:pPr>
              <w:numPr>
                <w:ilvl w:val="0"/>
                <w:numId w:val="4"/>
              </w:num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Sviluppo di una piattaforma digitale multilingue dell'UE e sistema di scambio elettronico;</w:t>
            </w:r>
          </w:p>
          <w:p w:rsidR="00336145" w:rsidRPr="00336145" w:rsidRDefault="00336145" w:rsidP="00336145">
            <w:pPr>
              <w:numPr>
                <w:ilvl w:val="0"/>
                <w:numId w:val="4"/>
              </w:num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Realizzazione eventi che sostengono azioni di costruzione delle capacità;</w:t>
            </w:r>
          </w:p>
          <w:p w:rsidR="00336145" w:rsidRPr="00336145" w:rsidRDefault="00336145" w:rsidP="00336145">
            <w:pPr>
              <w:numPr>
                <w:ilvl w:val="0"/>
                <w:numId w:val="4"/>
              </w:num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Realizzazione di eventi che supportano incontri di networking e collaborazione.</w:t>
            </w:r>
          </w:p>
        </w:tc>
      </w:tr>
      <w:tr w:rsidR="00336145" w:rsidRPr="00336145" w:rsidTr="006B3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Borders>
              <w:top w:val="dashSmallGap" w:sz="4" w:space="0" w:color="5B9BD5" w:themeColor="accent1"/>
              <w:left w:val="single" w:sz="12" w:space="0" w:color="5B9BD5" w:themeColor="accent1"/>
              <w:bottom w:val="single" w:sz="12"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b/>
                <w:color w:val="auto"/>
              </w:rPr>
            </w:pPr>
            <w:r w:rsidRPr="00336145">
              <w:rPr>
                <w:rFonts w:asciiTheme="minorHAnsi" w:eastAsiaTheme="minorHAnsi" w:hAnsiTheme="minorHAnsi" w:cstheme="minorBidi"/>
                <w:b/>
                <w:color w:val="auto"/>
              </w:rPr>
              <w:t xml:space="preserve">Innovatività del progetto </w:t>
            </w:r>
          </w:p>
        </w:tc>
      </w:tr>
      <w:tr w:rsidR="00336145" w:rsidRPr="00336145" w:rsidTr="006B36CF">
        <w:tc>
          <w:tcPr>
            <w:cnfStyle w:val="001000000000" w:firstRow="0" w:lastRow="0" w:firstColumn="1" w:lastColumn="0" w:oddVBand="0" w:evenVBand="0" w:oddHBand="0" w:evenHBand="0" w:firstRowFirstColumn="0" w:firstRowLastColumn="0" w:lastRowFirstColumn="0" w:lastRowLastColumn="0"/>
            <w:tcW w:w="5000" w:type="pct"/>
            <w:tcBorders>
              <w:top w:val="single" w:sz="12" w:space="0" w:color="5B9BD5" w:themeColor="accent1"/>
              <w:left w:val="single" w:sz="12" w:space="0" w:color="5B9BD5" w:themeColor="accent1"/>
              <w:bottom w:val="dashSmallGap" w:sz="4"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b/>
                <w:color w:val="auto"/>
              </w:rPr>
            </w:pPr>
            <w:r w:rsidRPr="00336145">
              <w:rPr>
                <w:rFonts w:asciiTheme="minorHAnsi" w:eastAsiaTheme="minorHAnsi" w:hAnsiTheme="minorHAnsi" w:cstheme="minorBidi"/>
                <w:color w:val="auto"/>
              </w:rPr>
              <w:t>Nel 2016 Eurocarers ha lanciato un centro di informazione europea on line chiamato "Informcare". Offre assistenza, assistenti professionali e datori di lavoro di paesi selezionati, nella propria lingua nazionale, informazioni e consulenza sulle attività di assistenza, contatti utili e strumenti interattivi per comunicare con altri coetanei, scambiare esperienze e fornire sostegno reciproco.</w:t>
            </w:r>
          </w:p>
        </w:tc>
      </w:tr>
      <w:tr w:rsidR="00336145" w:rsidRPr="00336145" w:rsidTr="006B3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Borders>
              <w:top w:val="single" w:sz="12" w:space="0" w:color="5B9BD5" w:themeColor="accent1"/>
              <w:left w:val="single" w:sz="12" w:space="0" w:color="5B9BD5" w:themeColor="accent1"/>
              <w:bottom w:val="single" w:sz="12"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b/>
                <w:color w:val="auto"/>
              </w:rPr>
            </w:pPr>
            <w:r w:rsidRPr="00336145">
              <w:rPr>
                <w:rFonts w:asciiTheme="minorHAnsi" w:eastAsiaTheme="minorHAnsi" w:hAnsiTheme="minorHAnsi" w:cstheme="minorBidi"/>
                <w:b/>
                <w:color w:val="auto"/>
              </w:rPr>
              <w:t>I risultati del progetto</w:t>
            </w:r>
          </w:p>
        </w:tc>
      </w:tr>
      <w:tr w:rsidR="00336145" w:rsidRPr="00336145" w:rsidTr="006B36CF">
        <w:tc>
          <w:tcPr>
            <w:cnfStyle w:val="001000000000" w:firstRow="0" w:lastRow="0" w:firstColumn="1" w:lastColumn="0" w:oddVBand="0" w:evenVBand="0" w:oddHBand="0" w:evenHBand="0" w:firstRowFirstColumn="0" w:firstRowLastColumn="0" w:lastRowFirstColumn="0" w:lastRowLastColumn="0"/>
            <w:tcW w:w="5000" w:type="pct"/>
            <w:tcBorders>
              <w:top w:val="single" w:sz="12" w:space="0" w:color="5B9BD5" w:themeColor="accent1"/>
              <w:left w:val="single" w:sz="12" w:space="0" w:color="5B9BD5" w:themeColor="accent1"/>
              <w:bottom w:val="dashSmallGap" w:sz="4"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lastRenderedPageBreak/>
              <w:t>Nel 2016 Eurocarers ha contribuito allo sviluppo, all'attuazione, al monitoraggio e alla valutazione di importanti iniziative sociali attraverso le sue attività di analisi e di networking. Ha sostenuto il coinvolgimento degli stakeholder nel processo politico attraverso la pubblicazione di attività e riunioni, ha rafforzato la capacità dei suoi membri attraverso visite di studio e seminari regionali e ha raccolto informazioni sugli assistenti informali partecipando a cinque progetti di ricerca.</w:t>
            </w:r>
          </w:p>
        </w:tc>
      </w:tr>
      <w:tr w:rsidR="00336145" w:rsidRPr="00336145" w:rsidTr="006B3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Borders>
              <w:top w:val="dashSmallGap" w:sz="4" w:space="0" w:color="5B9BD5" w:themeColor="accent1"/>
              <w:left w:val="single" w:sz="12" w:space="0" w:color="5B9BD5" w:themeColor="accent1"/>
              <w:bottom w:val="single" w:sz="12"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b/>
                <w:color w:val="auto"/>
              </w:rPr>
              <w:t>Valore aggiunto Europeo</w:t>
            </w:r>
            <w:r w:rsidRPr="00336145">
              <w:rPr>
                <w:rFonts w:asciiTheme="minorHAnsi" w:eastAsiaTheme="minorHAnsi" w:hAnsiTheme="minorHAnsi" w:cstheme="minorBidi"/>
                <w:color w:val="auto"/>
              </w:rPr>
              <w:t xml:space="preserve"> </w:t>
            </w:r>
          </w:p>
        </w:tc>
      </w:tr>
      <w:tr w:rsidR="00336145" w:rsidRPr="00336145" w:rsidTr="006B36CF">
        <w:tc>
          <w:tcPr>
            <w:cnfStyle w:val="001000000000" w:firstRow="0" w:lastRow="0" w:firstColumn="1" w:lastColumn="0" w:oddVBand="0" w:evenVBand="0" w:oddHBand="0" w:evenHBand="0" w:firstRowFirstColumn="0" w:firstRowLastColumn="0" w:lastRowFirstColumn="0" w:lastRowLastColumn="0"/>
            <w:tcW w:w="5000" w:type="pct"/>
            <w:tcBorders>
              <w:top w:val="single" w:sz="12" w:space="0" w:color="5B9BD5" w:themeColor="accent1"/>
              <w:left w:val="single" w:sz="12" w:space="0" w:color="5B9BD5" w:themeColor="accent1"/>
              <w:bottom w:val="dashSmallGap" w:sz="4"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 xml:space="preserve">Eurocarers è l'unica rete a livello europeo che supporta tutti i </w:t>
            </w:r>
            <w:r w:rsidRPr="00336145">
              <w:rPr>
                <w:rFonts w:asciiTheme="minorHAnsi" w:eastAsiaTheme="minorHAnsi" w:hAnsiTheme="minorHAnsi" w:cstheme="minorBidi"/>
                <w:i/>
                <w:color w:val="auto"/>
              </w:rPr>
              <w:t>caregivers</w:t>
            </w:r>
            <w:r w:rsidRPr="00336145">
              <w:rPr>
                <w:rFonts w:asciiTheme="minorHAnsi" w:eastAsiaTheme="minorHAnsi" w:hAnsiTheme="minorHAnsi" w:cstheme="minorBidi"/>
                <w:color w:val="auto"/>
              </w:rPr>
              <w:t xml:space="preserve"> e EaSI è la sua principale fonte di finanziamento. Pertanto, un valore aggiunto europeo evidente deriva dal fatto che, in mancanza di finanziamenti dell'UE, le attività della rete sarebbero fortemente limitate. Il finanziamento EaSI garantisce economie di scala e un efficiente utilizzo del denaro, portando a servizi migliori per i cittadini.</w:t>
            </w:r>
          </w:p>
        </w:tc>
      </w:tr>
      <w:tr w:rsidR="00336145" w:rsidRPr="00336145" w:rsidTr="006B3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Borders>
              <w:top w:val="dashSmallGap" w:sz="4" w:space="0" w:color="5B9BD5" w:themeColor="accent1"/>
              <w:left w:val="single" w:sz="12" w:space="0" w:color="5B9BD5" w:themeColor="accent1"/>
              <w:bottom w:val="single" w:sz="12"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b/>
                <w:color w:val="auto"/>
              </w:rPr>
              <w:t>Gruppi target</w:t>
            </w:r>
          </w:p>
        </w:tc>
      </w:tr>
      <w:tr w:rsidR="00336145" w:rsidRPr="00336145" w:rsidTr="006B36CF">
        <w:tc>
          <w:tcPr>
            <w:cnfStyle w:val="001000000000" w:firstRow="0" w:lastRow="0" w:firstColumn="1" w:lastColumn="0" w:oddVBand="0" w:evenVBand="0" w:oddHBand="0" w:evenHBand="0" w:firstRowFirstColumn="0" w:firstRowLastColumn="0" w:lastRowFirstColumn="0" w:lastRowLastColumn="0"/>
            <w:tcW w:w="5000" w:type="pct"/>
            <w:tcBorders>
              <w:top w:val="single" w:sz="12" w:space="0" w:color="5B9BD5" w:themeColor="accent1"/>
              <w:left w:val="single" w:sz="12" w:space="0" w:color="5B9BD5" w:themeColor="accent1"/>
              <w:bottom w:val="single" w:sz="12"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Autorità nazionali, regionali e locali; Organismi specializzati previsti dal diritto dell'Unione; Organizzazioni non governative; Istituti di istruzione superiore e istituti di ricerca; Media; Assistenti informali stessi.</w:t>
            </w:r>
          </w:p>
        </w:tc>
      </w:tr>
    </w:tbl>
    <w:p w:rsidR="00336145" w:rsidRDefault="00336145" w:rsidP="00336145">
      <w:pPr>
        <w:rPr>
          <w:b/>
        </w:rPr>
      </w:pPr>
    </w:p>
    <w:p w:rsidR="00336145" w:rsidRDefault="00336145" w:rsidP="00336145">
      <w:pPr>
        <w:rPr>
          <w:b/>
        </w:rPr>
      </w:pPr>
    </w:p>
    <w:p w:rsidR="00336145" w:rsidRDefault="00336145" w:rsidP="00336145">
      <w:pPr>
        <w:rPr>
          <w:b/>
        </w:rPr>
      </w:pPr>
    </w:p>
    <w:p w:rsidR="005B2595" w:rsidRDefault="005B2595">
      <w:pPr>
        <w:rPr>
          <w:b/>
        </w:rPr>
      </w:pPr>
      <w:r>
        <w:rPr>
          <w:b/>
        </w:rPr>
        <w:br w:type="page"/>
      </w:r>
    </w:p>
    <w:tbl>
      <w:tblPr>
        <w:tblStyle w:val="Elencomedio2-Colore1"/>
        <w:tblW w:w="5000" w:type="pct"/>
        <w:tblLook w:val="04A0" w:firstRow="1" w:lastRow="0" w:firstColumn="1" w:lastColumn="0" w:noHBand="0" w:noVBand="1"/>
      </w:tblPr>
      <w:tblGrid>
        <w:gridCol w:w="9608"/>
      </w:tblGrid>
      <w:tr w:rsidR="00336145" w:rsidRPr="00336145" w:rsidTr="006B36C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000" w:type="pct"/>
            <w:tcBorders>
              <w:top w:val="single" w:sz="18" w:space="0" w:color="5B9BD5" w:themeColor="accent1"/>
              <w:left w:val="single" w:sz="12" w:space="0" w:color="5B9BD5" w:themeColor="accent1"/>
              <w:right w:val="single" w:sz="12" w:space="0" w:color="5B9BD5" w:themeColor="accent1"/>
            </w:tcBorders>
            <w:shd w:val="clear" w:color="auto" w:fill="DEEAF6" w:themeFill="accent1" w:themeFillTint="33"/>
            <w:noWrap/>
            <w:vAlign w:val="center"/>
          </w:tcPr>
          <w:p w:rsidR="00336145" w:rsidRPr="00336145" w:rsidRDefault="00336145" w:rsidP="00336145">
            <w:pPr>
              <w:spacing w:after="160" w:line="259" w:lineRule="auto"/>
              <w:rPr>
                <w:rFonts w:asciiTheme="minorHAnsi" w:eastAsiaTheme="minorHAnsi" w:hAnsiTheme="minorHAnsi" w:cstheme="minorBidi"/>
                <w:b/>
                <w:color w:val="auto"/>
                <w:sz w:val="22"/>
                <w:szCs w:val="22"/>
              </w:rPr>
            </w:pPr>
          </w:p>
          <w:p w:rsidR="00336145" w:rsidRPr="00336145" w:rsidRDefault="00336145" w:rsidP="00336145">
            <w:pPr>
              <w:spacing w:after="160" w:line="259" w:lineRule="auto"/>
              <w:rPr>
                <w:rFonts w:asciiTheme="minorHAnsi" w:eastAsiaTheme="minorHAnsi" w:hAnsiTheme="minorHAnsi" w:cstheme="minorBidi"/>
                <w:b/>
                <w:color w:val="auto"/>
                <w:sz w:val="22"/>
                <w:szCs w:val="22"/>
              </w:rPr>
            </w:pPr>
            <w:r w:rsidRPr="00336145">
              <w:rPr>
                <w:rFonts w:asciiTheme="minorHAnsi" w:eastAsiaTheme="minorHAnsi" w:hAnsiTheme="minorHAnsi" w:cstheme="minorBidi"/>
                <w:b/>
                <w:color w:val="auto"/>
                <w:sz w:val="22"/>
                <w:szCs w:val="22"/>
              </w:rPr>
              <w:t>Koopera</w:t>
            </w:r>
          </w:p>
          <w:p w:rsidR="00336145" w:rsidRPr="00336145" w:rsidRDefault="00336145" w:rsidP="00336145">
            <w:pPr>
              <w:spacing w:after="160" w:line="259" w:lineRule="auto"/>
              <w:rPr>
                <w:rFonts w:asciiTheme="minorHAnsi" w:eastAsiaTheme="minorHAnsi" w:hAnsiTheme="minorHAnsi" w:cstheme="minorBidi"/>
                <w:b/>
                <w:color w:val="auto"/>
                <w:sz w:val="22"/>
                <w:szCs w:val="22"/>
              </w:rPr>
            </w:pPr>
            <w:r w:rsidRPr="00336145">
              <w:rPr>
                <w:rFonts w:asciiTheme="minorHAnsi" w:eastAsiaTheme="minorHAnsi" w:hAnsiTheme="minorHAnsi" w:cstheme="minorBidi"/>
                <w:b/>
                <w:color w:val="auto"/>
                <w:sz w:val="22"/>
                <w:szCs w:val="22"/>
              </w:rPr>
              <w:t xml:space="preserve">                                                                                                                         Spagna (Bilbao)</w:t>
            </w:r>
          </w:p>
        </w:tc>
      </w:tr>
      <w:tr w:rsidR="00336145" w:rsidRPr="00336145" w:rsidTr="006B3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Borders>
              <w:top w:val="single" w:sz="24" w:space="0" w:color="5B9BD5" w:themeColor="accent1"/>
              <w:left w:val="single" w:sz="12" w:space="0" w:color="5B9BD5" w:themeColor="accent1"/>
              <w:bottom w:val="single" w:sz="12"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b/>
                <w:color w:val="auto"/>
              </w:rPr>
              <w:t>Contesto</w:t>
            </w:r>
          </w:p>
        </w:tc>
      </w:tr>
      <w:tr w:rsidR="00336145" w:rsidRPr="00336145" w:rsidTr="006B36CF">
        <w:tc>
          <w:tcPr>
            <w:cnfStyle w:val="001000000000" w:firstRow="0" w:lastRow="0" w:firstColumn="1" w:lastColumn="0" w:oddVBand="0" w:evenVBand="0" w:oddHBand="0" w:evenHBand="0" w:firstRowFirstColumn="0" w:firstRowLastColumn="0" w:lastRowFirstColumn="0" w:lastRowLastColumn="0"/>
            <w:tcW w:w="5000" w:type="pct"/>
            <w:tcBorders>
              <w:top w:val="single" w:sz="12" w:space="0" w:color="5B9BD5" w:themeColor="accent1"/>
              <w:left w:val="single" w:sz="12" w:space="0" w:color="5B9BD5" w:themeColor="accent1"/>
              <w:bottom w:val="dashSmallGap" w:sz="4"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 xml:space="preserve">Koopera è un network di cooperative sociali creato a Bilbao nel 2008 che mira a favorire l'inclusione e l'occupabilità delle persone in situazione o a rischio di esclusione sociale. Il loro obiettivo principale è aiutare le persone svantaggiate impiegandole nei servizi ambientali attraverso la raccolta, il riutilizzo e il riciclaggio di diversi rifiuti (carta, cartone, tessuti, mobili, ecc.). Questi servizi sono collegati ad una catena di negozi di consumo sostenibile in cui i diversi prodotti riciclati e riutilizzati sono venduti al pubblico generando un modello di business che supporta una parte di tutta la catena delle operazioni. La rete offre anche diversi programmi di formazione diretti ai bisogni sociali ed educativi degli esclusi socialmente, dove le persone che sono recuperate dalla rete partecipano al tempo stesso i lavori della medesima. </w:t>
            </w:r>
          </w:p>
        </w:tc>
      </w:tr>
      <w:tr w:rsidR="00336145" w:rsidRPr="00336145" w:rsidTr="006B3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Borders>
              <w:top w:val="dashSmallGap" w:sz="4" w:space="0" w:color="5B9BD5" w:themeColor="accent1"/>
              <w:left w:val="single" w:sz="12" w:space="0" w:color="5B9BD5" w:themeColor="accent1"/>
              <w:bottom w:val="single" w:sz="12"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b/>
                <w:color w:val="auto"/>
              </w:rPr>
              <w:t>Descrizione</w:t>
            </w:r>
          </w:p>
        </w:tc>
      </w:tr>
      <w:tr w:rsidR="00336145" w:rsidRPr="00336145" w:rsidTr="006B36CF">
        <w:tc>
          <w:tcPr>
            <w:cnfStyle w:val="001000000000" w:firstRow="0" w:lastRow="0" w:firstColumn="1" w:lastColumn="0" w:oddVBand="0" w:evenVBand="0" w:oddHBand="0" w:evenHBand="0" w:firstRowFirstColumn="0" w:firstRowLastColumn="0" w:lastRowFirstColumn="0" w:lastRowLastColumn="0"/>
            <w:tcW w:w="5000" w:type="pct"/>
            <w:tcBorders>
              <w:top w:val="single" w:sz="12" w:space="0" w:color="5B9BD5" w:themeColor="accent1"/>
              <w:left w:val="single" w:sz="12" w:space="0" w:color="5B9BD5" w:themeColor="accent1"/>
              <w:bottom w:val="dashSmallGap" w:sz="4"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Nel campo dell'inclusione sociale e dell’occupazione, la rete sviluppa programmi di formazione e di lavoro e offre contratti con le aziende per facilitare la reintegrazione dei gruppi socialmente esclusi, impiegandoli nei propri servizi. Come ad esempio nell’ambito del miglioramento e della cura dell'ambiente, la rete aumenta la consapevolezza dell'importanza della prevenzione attraverso una vasta gamma di attività incentrate sul riciclo, sul trattamento e sul riutilizzo dei rifiuti. Essi selezionano, classificano e trattano beni diversi quali giocattoli, libri, mobili, dispositivi elettronici, batterie, materiale organico ecc.</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Koopera sostiene, inoltre, le imprese sociali che vogliono far parte della rete, fornendo anche programmi di formazione per la gestione dei nuovi soci.</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Per quanto riguarda i servizi sociali, la rete offre servizi di alloggio e assistenza a domicilio per persone con anziani e/o figli a carico. I soggetti che gestiscono tali servizi fanno parte dei programmi di reinserimento; in tal modo Koopera è in grado di creare un sistema bilaterale di integrazione sociale in cui i segmenti della popolazione reinseriti forniscono anche servizi importanti alla comunità.</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Inoltre, Koopera promuove diversi progetti nei paesi in via di sviluppo attraverso programmi di volontariato dove le popolazioni locali hanno la possibilità di gestire e di essere attivi in ​​questi progetti fin dall'inizio. In questo contesto, Koopera sostiene l'economia solidale supportando diverse attività imprenditoriali in campo sociale, imprese che cercano di sviluppare servizi innovativi, più efficienti e sostenibili.</w:t>
            </w:r>
          </w:p>
        </w:tc>
      </w:tr>
      <w:tr w:rsidR="00336145" w:rsidRPr="00336145" w:rsidTr="006B3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Borders>
              <w:top w:val="single" w:sz="12" w:space="0" w:color="5B9BD5" w:themeColor="accent1"/>
              <w:left w:val="single" w:sz="12" w:space="0" w:color="5B9BD5" w:themeColor="accent1"/>
              <w:bottom w:val="single" w:sz="12"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b/>
                <w:color w:val="auto"/>
              </w:rPr>
            </w:pPr>
            <w:r w:rsidRPr="00336145">
              <w:rPr>
                <w:rFonts w:asciiTheme="minorHAnsi" w:eastAsiaTheme="minorHAnsi" w:hAnsiTheme="minorHAnsi" w:cstheme="minorBidi"/>
                <w:b/>
                <w:color w:val="auto"/>
              </w:rPr>
              <w:t>I risultati del progetto</w:t>
            </w:r>
          </w:p>
        </w:tc>
      </w:tr>
      <w:tr w:rsidR="00336145" w:rsidRPr="00336145" w:rsidTr="006B36CF">
        <w:tc>
          <w:tcPr>
            <w:cnfStyle w:val="001000000000" w:firstRow="0" w:lastRow="0" w:firstColumn="1" w:lastColumn="0" w:oddVBand="0" w:evenVBand="0" w:oddHBand="0" w:evenHBand="0" w:firstRowFirstColumn="0" w:firstRowLastColumn="0" w:lastRowFirstColumn="0" w:lastRowLastColumn="0"/>
            <w:tcW w:w="5000" w:type="pct"/>
            <w:tcBorders>
              <w:top w:val="single" w:sz="12" w:space="0" w:color="5B9BD5" w:themeColor="accent1"/>
              <w:left w:val="single" w:sz="12" w:space="0" w:color="5B9BD5" w:themeColor="accent1"/>
              <w:bottom w:val="dashSmallGap" w:sz="4"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Sono stati raggiunti accordi con le Pubbliche Amministrazioni per lo sviluppo di nuovi programmi di formazione per nuove opportunità di lavoro, collaborando anche alla progettazione di politiche di innovazione sociale con i governi dei Paesi Baschi.</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Koopera ha anche ampliato e diversificato la propria base operativa attraverso la negoziazione e l’inserimento di società private nelle proprie attività, mediante il ricorso ai programmi di responsabilità sociale.</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lastRenderedPageBreak/>
              <w:t>Di conseguenza, le aziende hanno visto in Koopera una buona opportunità per investire e sostenere i loro progetti sociali, sia attraverso misure di beneficenza, sia impiegando persone socialmente escluse provenienti dai percorsi formativi di Koopera.</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Oggi Koopera impiega 433 persone, di cui il 56% fa parte dei programmi di occupabilità. La rete Koopera ha anche costituito un club di soci che supporta volontariamente le proprie attività acquistando nei loro negozi o contribuendo attraverso misure di beneficenza. Dal 2008 ad oggi essa ha assistito 6.819 persone in situazioni o a rischio di esclusione sociale.</w:t>
            </w:r>
          </w:p>
        </w:tc>
      </w:tr>
      <w:tr w:rsidR="00336145" w:rsidRPr="00336145" w:rsidTr="006B3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Borders>
              <w:top w:val="dashSmallGap" w:sz="4" w:space="0" w:color="5B9BD5" w:themeColor="accent1"/>
              <w:left w:val="single" w:sz="12" w:space="0" w:color="5B9BD5" w:themeColor="accent1"/>
              <w:bottom w:val="single" w:sz="12"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b/>
                <w:color w:val="auto"/>
              </w:rPr>
              <w:lastRenderedPageBreak/>
              <w:t>Gruppi target</w:t>
            </w:r>
          </w:p>
        </w:tc>
      </w:tr>
      <w:tr w:rsidR="00336145" w:rsidRPr="00336145" w:rsidTr="006B36CF">
        <w:tc>
          <w:tcPr>
            <w:cnfStyle w:val="001000000000" w:firstRow="0" w:lastRow="0" w:firstColumn="1" w:lastColumn="0" w:oddVBand="0" w:evenVBand="0" w:oddHBand="0" w:evenHBand="0" w:firstRowFirstColumn="0" w:firstRowLastColumn="0" w:lastRowFirstColumn="0" w:lastRowLastColumn="0"/>
            <w:tcW w:w="5000" w:type="pct"/>
            <w:tcBorders>
              <w:top w:val="single" w:sz="12" w:space="0" w:color="5B9BD5" w:themeColor="accent1"/>
              <w:left w:val="single" w:sz="12" w:space="0" w:color="5B9BD5" w:themeColor="accent1"/>
              <w:bottom w:val="single" w:sz="12"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Persone in situazioni o rischio di esclusione sociale.</w:t>
            </w:r>
          </w:p>
        </w:tc>
      </w:tr>
    </w:tbl>
    <w:p w:rsidR="00336145" w:rsidRPr="00336145" w:rsidRDefault="00336145" w:rsidP="00336145">
      <w:pPr>
        <w:rPr>
          <w:b/>
        </w:rPr>
      </w:pPr>
    </w:p>
    <w:p w:rsidR="00336145" w:rsidRDefault="00336145" w:rsidP="00336145">
      <w:pPr>
        <w:rPr>
          <w:b/>
        </w:rPr>
      </w:pPr>
    </w:p>
    <w:p w:rsidR="005B2595" w:rsidRDefault="005B2595">
      <w:pPr>
        <w:rPr>
          <w:b/>
        </w:rPr>
      </w:pPr>
      <w:r>
        <w:rPr>
          <w:b/>
        </w:rPr>
        <w:br w:type="page"/>
      </w:r>
    </w:p>
    <w:tbl>
      <w:tblPr>
        <w:tblStyle w:val="Elencomedio2-Colore1"/>
        <w:tblW w:w="5000" w:type="pct"/>
        <w:tblLook w:val="04A0" w:firstRow="1" w:lastRow="0" w:firstColumn="1" w:lastColumn="0" w:noHBand="0" w:noVBand="1"/>
      </w:tblPr>
      <w:tblGrid>
        <w:gridCol w:w="9608"/>
      </w:tblGrid>
      <w:tr w:rsidR="00336145" w:rsidRPr="00336145" w:rsidTr="006B36C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000" w:type="pct"/>
            <w:tcBorders>
              <w:top w:val="single" w:sz="18" w:space="0" w:color="5B9BD5" w:themeColor="accent1"/>
              <w:left w:val="single" w:sz="12" w:space="0" w:color="5B9BD5" w:themeColor="accent1"/>
              <w:right w:val="single" w:sz="12" w:space="0" w:color="5B9BD5" w:themeColor="accent1"/>
            </w:tcBorders>
            <w:shd w:val="clear" w:color="auto" w:fill="DEEAF6" w:themeFill="accent1" w:themeFillTint="33"/>
            <w:noWrap/>
            <w:vAlign w:val="center"/>
          </w:tcPr>
          <w:p w:rsidR="00336145" w:rsidRPr="00336145" w:rsidRDefault="00336145" w:rsidP="00336145">
            <w:pPr>
              <w:spacing w:after="160" w:line="259" w:lineRule="auto"/>
              <w:rPr>
                <w:rFonts w:asciiTheme="minorHAnsi" w:eastAsiaTheme="minorHAnsi" w:hAnsiTheme="minorHAnsi" w:cstheme="minorBidi"/>
                <w:b/>
                <w:color w:val="auto"/>
                <w:sz w:val="22"/>
                <w:szCs w:val="22"/>
              </w:rPr>
            </w:pPr>
          </w:p>
          <w:p w:rsidR="00336145" w:rsidRPr="00336145" w:rsidRDefault="00336145" w:rsidP="00336145">
            <w:pPr>
              <w:spacing w:after="160" w:line="259" w:lineRule="auto"/>
              <w:rPr>
                <w:rFonts w:asciiTheme="minorHAnsi" w:eastAsiaTheme="minorHAnsi" w:hAnsiTheme="minorHAnsi" w:cstheme="minorBidi"/>
                <w:b/>
                <w:color w:val="auto"/>
                <w:sz w:val="22"/>
                <w:szCs w:val="22"/>
              </w:rPr>
            </w:pPr>
            <w:r w:rsidRPr="00336145">
              <w:rPr>
                <w:rFonts w:asciiTheme="minorHAnsi" w:eastAsiaTheme="minorHAnsi" w:hAnsiTheme="minorHAnsi" w:cstheme="minorBidi"/>
                <w:b/>
                <w:color w:val="auto"/>
                <w:sz w:val="22"/>
                <w:szCs w:val="22"/>
              </w:rPr>
              <w:t>Humana Nova</w:t>
            </w:r>
          </w:p>
          <w:p w:rsidR="00336145" w:rsidRPr="00336145" w:rsidRDefault="00336145" w:rsidP="00336145">
            <w:pPr>
              <w:spacing w:after="160" w:line="259" w:lineRule="auto"/>
              <w:rPr>
                <w:rFonts w:asciiTheme="minorHAnsi" w:eastAsiaTheme="minorHAnsi" w:hAnsiTheme="minorHAnsi" w:cstheme="minorBidi"/>
                <w:b/>
                <w:color w:val="auto"/>
                <w:sz w:val="22"/>
                <w:szCs w:val="22"/>
              </w:rPr>
            </w:pPr>
            <w:r w:rsidRPr="00336145">
              <w:rPr>
                <w:rFonts w:asciiTheme="minorHAnsi" w:eastAsiaTheme="minorHAnsi" w:hAnsiTheme="minorHAnsi" w:cstheme="minorBidi"/>
                <w:b/>
                <w:i/>
                <w:color w:val="auto"/>
                <w:sz w:val="22"/>
                <w:szCs w:val="22"/>
              </w:rPr>
              <w:t>Dal riciclaggio tessile e all'occupazione dei gruppi marginalizzati all’ impatto sociale</w:t>
            </w:r>
            <w:r w:rsidRPr="00336145">
              <w:rPr>
                <w:rFonts w:asciiTheme="minorHAnsi" w:eastAsiaTheme="minorHAnsi" w:hAnsiTheme="minorHAnsi" w:cstheme="minorBidi"/>
                <w:b/>
                <w:color w:val="auto"/>
                <w:sz w:val="22"/>
                <w:szCs w:val="22"/>
              </w:rPr>
              <w:t>.</w:t>
            </w:r>
          </w:p>
          <w:p w:rsidR="00336145" w:rsidRPr="00336145" w:rsidRDefault="00336145" w:rsidP="00336145">
            <w:pPr>
              <w:spacing w:after="160" w:line="259" w:lineRule="auto"/>
              <w:rPr>
                <w:rFonts w:asciiTheme="minorHAnsi" w:eastAsiaTheme="minorHAnsi" w:hAnsiTheme="minorHAnsi" w:cstheme="minorBidi"/>
                <w:b/>
                <w:color w:val="auto"/>
                <w:sz w:val="22"/>
                <w:szCs w:val="22"/>
              </w:rPr>
            </w:pPr>
          </w:p>
          <w:p w:rsidR="00336145" w:rsidRPr="00336145" w:rsidRDefault="00336145" w:rsidP="00336145">
            <w:pPr>
              <w:spacing w:after="160" w:line="259" w:lineRule="auto"/>
              <w:rPr>
                <w:rFonts w:asciiTheme="minorHAnsi" w:eastAsiaTheme="minorHAnsi" w:hAnsiTheme="minorHAnsi" w:cstheme="minorBidi"/>
                <w:b/>
                <w:color w:val="auto"/>
                <w:sz w:val="22"/>
                <w:szCs w:val="22"/>
              </w:rPr>
            </w:pPr>
            <w:r w:rsidRPr="00336145">
              <w:rPr>
                <w:rFonts w:asciiTheme="minorHAnsi" w:eastAsiaTheme="minorHAnsi" w:hAnsiTheme="minorHAnsi" w:cstheme="minorBidi"/>
                <w:b/>
                <w:color w:val="auto"/>
                <w:sz w:val="22"/>
                <w:szCs w:val="22"/>
              </w:rPr>
              <w:t xml:space="preserve">                                                                                                                                   Croazia                                                           </w:t>
            </w:r>
          </w:p>
        </w:tc>
      </w:tr>
      <w:tr w:rsidR="00336145" w:rsidRPr="00336145" w:rsidTr="006B3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Borders>
              <w:top w:val="single" w:sz="24" w:space="0" w:color="5B9BD5" w:themeColor="accent1"/>
              <w:left w:val="single" w:sz="12" w:space="0" w:color="5B9BD5" w:themeColor="accent1"/>
              <w:bottom w:val="single" w:sz="12"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b/>
                <w:color w:val="auto"/>
              </w:rPr>
              <w:t>Contesto</w:t>
            </w:r>
          </w:p>
        </w:tc>
      </w:tr>
      <w:tr w:rsidR="00336145" w:rsidRPr="00336145" w:rsidTr="006B36CF">
        <w:tc>
          <w:tcPr>
            <w:cnfStyle w:val="001000000000" w:firstRow="0" w:lastRow="0" w:firstColumn="1" w:lastColumn="0" w:oddVBand="0" w:evenVBand="0" w:oddHBand="0" w:evenHBand="0" w:firstRowFirstColumn="0" w:firstRowLastColumn="0" w:lastRowFirstColumn="0" w:lastRowLastColumn="0"/>
            <w:tcW w:w="5000" w:type="pct"/>
            <w:tcBorders>
              <w:top w:val="single" w:sz="12" w:space="0" w:color="5B9BD5" w:themeColor="accent1"/>
              <w:left w:val="single" w:sz="12" w:space="0" w:color="5B9BD5" w:themeColor="accent1"/>
              <w:bottom w:val="dashSmallGap" w:sz="4"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La cooperativa è stata fondata nel 2011 come risultati del progetto "</w:t>
            </w:r>
            <w:r w:rsidRPr="00336145">
              <w:rPr>
                <w:rFonts w:asciiTheme="minorHAnsi" w:eastAsiaTheme="minorHAnsi" w:hAnsiTheme="minorHAnsi" w:cstheme="minorBidi"/>
                <w:i/>
                <w:color w:val="auto"/>
              </w:rPr>
              <w:t xml:space="preserve">ESCO - Istruzione per le Cooperative Sociali: Nuove opportunità per le persone con disabilità </w:t>
            </w:r>
            <w:r w:rsidRPr="00336145">
              <w:rPr>
                <w:rFonts w:asciiTheme="minorHAnsi" w:eastAsiaTheme="minorHAnsi" w:hAnsiTheme="minorHAnsi" w:cstheme="minorBidi"/>
                <w:color w:val="auto"/>
              </w:rPr>
              <w:t>" realizzato da un organizzazione non governativa attiva nella Contea di Medimurje: Centro Autonomo (ACT). Lo scopo del progetto era quello di attivare percorsi formativi per le persone con disabilità al fine di aumentare la loro competitività nel mercato del lavoro. I partecipanti al programma hanno acquisito nuove competenze e qualifiche (amministratori del web, contabili ecc.) che hanno portato alla fondazione di numerose imprese sociali che impiegano persone escluse dal mercato del lavoro; una di queste era Humana Nova e i suoi membri sono quattro associazioni di persone con disabilità della regione, nonché i dipendenti.</w:t>
            </w:r>
          </w:p>
        </w:tc>
      </w:tr>
      <w:tr w:rsidR="00336145" w:rsidRPr="00336145" w:rsidTr="006B3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Borders>
              <w:top w:val="dashSmallGap" w:sz="4" w:space="0" w:color="5B9BD5" w:themeColor="accent1"/>
              <w:left w:val="single" w:sz="12" w:space="0" w:color="5B9BD5" w:themeColor="accent1"/>
              <w:bottom w:val="single" w:sz="12"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b/>
                <w:color w:val="auto"/>
              </w:rPr>
              <w:t>Descrizione</w:t>
            </w:r>
          </w:p>
        </w:tc>
      </w:tr>
      <w:tr w:rsidR="00336145" w:rsidRPr="00336145" w:rsidTr="006B36CF">
        <w:tc>
          <w:tcPr>
            <w:cnfStyle w:val="001000000000" w:firstRow="0" w:lastRow="0" w:firstColumn="1" w:lastColumn="0" w:oddVBand="0" w:evenVBand="0" w:oddHBand="0" w:evenHBand="0" w:firstRowFirstColumn="0" w:firstRowLastColumn="0" w:lastRowFirstColumn="0" w:lastRowLastColumn="0"/>
            <w:tcW w:w="5000" w:type="pct"/>
            <w:tcBorders>
              <w:top w:val="single" w:sz="12" w:space="0" w:color="5B9BD5" w:themeColor="accent1"/>
              <w:left w:val="single" w:sz="12" w:space="0" w:color="5B9BD5" w:themeColor="accent1"/>
              <w:bottom w:val="dashSmallGap" w:sz="4"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 xml:space="preserve">La principale attività del progetto è stata la formazione per la riqualificazione, che ha consentito a otto disabili di acquisire competenze nell’ambito della sartoria (cucito) e una certificazione di accompagnamento. </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Anche se all’inizio la cooperativa ha ottenuto il sostegno pubblico, ha dovuto comunque aumentare la sua visibilità nella comunità locale e incoraggiare la cooperazione dei cittadini. Sotto il motto "Il tessuto non è spreco" sono state organizzate azioni di raccolta dei tessuti inutilizzati dai cittadini. Insieme alle società di servizio pubblico sono stati organizzati diversi eventi in cui i cittadini potevano portare i loro abiti indossati e inutilizzati e altri oggetti sapendo che sarebbero stati utilizzati per un buon fine e in modo ecologico.</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Nel 2012, Humana Nova ha lavorato al rafforzamento delle capacità e al potenziamento del team. A quel tempo, 10 persone sono state assunte insieme al nuovo manager. Inoltre, è stato impiegato un giovane ingegnere altamente qualificato in materia di tecnologia tessile (ma senza precedente esperienza lavorativa) e il suo giovane entusiasmo e la creatività hanno modernizzato la progettazione dei prodotti riciclati. Sono stati, altresì, impiegati diversi lavoratori con esperienza nel settore dell’industria tessile con competenze in cucito, sartoria e gestione delle vendite. I dipendenti più qualificati hanno trasferito le loro conoscenze e competenze ai loro colleghi meno esperti attraverso il lavoro congiunto sulla consegna quotidiana degli ordini dei clienti.</w:t>
            </w:r>
          </w:p>
        </w:tc>
      </w:tr>
      <w:tr w:rsidR="00336145" w:rsidRPr="00336145" w:rsidTr="006B3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Borders>
              <w:top w:val="single" w:sz="12" w:space="0" w:color="5B9BD5" w:themeColor="accent1"/>
              <w:left w:val="single" w:sz="12" w:space="0" w:color="5B9BD5" w:themeColor="accent1"/>
              <w:bottom w:val="single" w:sz="12"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b/>
                <w:color w:val="auto"/>
              </w:rPr>
            </w:pPr>
            <w:r w:rsidRPr="00336145">
              <w:rPr>
                <w:rFonts w:asciiTheme="minorHAnsi" w:eastAsiaTheme="minorHAnsi" w:hAnsiTheme="minorHAnsi" w:cstheme="minorBidi"/>
                <w:b/>
                <w:color w:val="auto"/>
              </w:rPr>
              <w:t>I risultati del progetto</w:t>
            </w:r>
          </w:p>
        </w:tc>
      </w:tr>
      <w:tr w:rsidR="00336145" w:rsidRPr="00336145" w:rsidTr="006B36CF">
        <w:tc>
          <w:tcPr>
            <w:cnfStyle w:val="001000000000" w:firstRow="0" w:lastRow="0" w:firstColumn="1" w:lastColumn="0" w:oddVBand="0" w:evenVBand="0" w:oddHBand="0" w:evenHBand="0" w:firstRowFirstColumn="0" w:firstRowLastColumn="0" w:lastRowFirstColumn="0" w:lastRowLastColumn="0"/>
            <w:tcW w:w="5000" w:type="pct"/>
            <w:tcBorders>
              <w:top w:val="single" w:sz="12" w:space="0" w:color="5B9BD5" w:themeColor="accent1"/>
              <w:left w:val="single" w:sz="12" w:space="0" w:color="5B9BD5" w:themeColor="accent1"/>
              <w:bottom w:val="dashSmallGap" w:sz="4"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Il progetto ha portato alla fondazione della cooperativa che forniva finanziamenti non solo per le attrezzature e la formazione, ma anche per alcuni costi operativi. Molti lavoratori erano impiegati nell'ambito delle misure di politica attiva del mercato del lavoro rivolte a disoccupati svantaggiati; ciò ha consentito alla cooperativa di ottenere fondi per il pagamento degli stipendi dei lavoratori appena occupati per il primo anno del loro impiego.</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lastRenderedPageBreak/>
              <w:t>Nel 2013, la cooperativa contava 17 dipendenti, tra cui sei sarte, due addette alla vendita, due donne che lavorano allo smistamento dei vestiti, un dirigente di assortimento, un designer, un assistente amministrativo, un capo dell'ufficio di Koprivnica e un responsabile della cooperativa.</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La collaborazione con ELFS è stata estesa a più indumenti, ciò ha determinato l'impiego di quattro nuove cucitrici e di un venditore. Inoltre è stata sviluppata una collaborazione con due società dell'UE. Una di loro è la DNA Merch di Berlino e l'altra il Göttin des Glückes di Vienna. Entrambe le società cercavano un partner che incorporasse valori sociali e umani all'interno della sua attività e lo hanno trovato in Humana Nova. Per la DNA Merch, la cooperativa produce t-shirt realizzate in cotone biologico, mentre per Göttin des Glückesa è stata realizzata una collezione completa di capi di tela.</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Entrambi i partner sono soddisfatti degli standard di alta qualità forniti da Humana Nova.</w:t>
            </w:r>
          </w:p>
        </w:tc>
      </w:tr>
      <w:tr w:rsidR="00336145" w:rsidRPr="00336145" w:rsidTr="006B3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Borders>
              <w:top w:val="dashSmallGap" w:sz="4" w:space="0" w:color="5B9BD5" w:themeColor="accent1"/>
              <w:left w:val="single" w:sz="12" w:space="0" w:color="5B9BD5" w:themeColor="accent1"/>
              <w:bottom w:val="single" w:sz="12"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b/>
                <w:color w:val="auto"/>
              </w:rPr>
              <w:lastRenderedPageBreak/>
              <w:t>Gruppi target</w:t>
            </w:r>
          </w:p>
        </w:tc>
      </w:tr>
      <w:tr w:rsidR="00336145" w:rsidRPr="00336145" w:rsidTr="006B36CF">
        <w:tc>
          <w:tcPr>
            <w:cnfStyle w:val="001000000000" w:firstRow="0" w:lastRow="0" w:firstColumn="1" w:lastColumn="0" w:oddVBand="0" w:evenVBand="0" w:oddHBand="0" w:evenHBand="0" w:firstRowFirstColumn="0" w:firstRowLastColumn="0" w:lastRowFirstColumn="0" w:lastRowLastColumn="0"/>
            <w:tcW w:w="5000" w:type="pct"/>
            <w:tcBorders>
              <w:top w:val="single" w:sz="12" w:space="0" w:color="5B9BD5" w:themeColor="accent1"/>
              <w:left w:val="single" w:sz="12" w:space="0" w:color="5B9BD5" w:themeColor="accent1"/>
              <w:bottom w:val="single" w:sz="12"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Persone con disabilità.</w:t>
            </w:r>
          </w:p>
        </w:tc>
      </w:tr>
    </w:tbl>
    <w:p w:rsidR="00336145" w:rsidRPr="00336145" w:rsidRDefault="00336145" w:rsidP="00336145">
      <w:pPr>
        <w:rPr>
          <w:b/>
        </w:rPr>
      </w:pPr>
    </w:p>
    <w:p w:rsidR="00336145" w:rsidRDefault="00336145" w:rsidP="00336145">
      <w:pPr>
        <w:rPr>
          <w:b/>
        </w:rPr>
      </w:pPr>
    </w:p>
    <w:p w:rsidR="005B2595" w:rsidRDefault="005B2595">
      <w:pPr>
        <w:rPr>
          <w:b/>
        </w:rPr>
      </w:pPr>
      <w:r>
        <w:rPr>
          <w:b/>
        </w:rPr>
        <w:br w:type="page"/>
      </w:r>
    </w:p>
    <w:tbl>
      <w:tblPr>
        <w:tblStyle w:val="Elencomedio2-Colore1"/>
        <w:tblW w:w="5000" w:type="pct"/>
        <w:tblLook w:val="04A0" w:firstRow="1" w:lastRow="0" w:firstColumn="1" w:lastColumn="0" w:noHBand="0" w:noVBand="1"/>
      </w:tblPr>
      <w:tblGrid>
        <w:gridCol w:w="9608"/>
      </w:tblGrid>
      <w:tr w:rsidR="00336145" w:rsidRPr="00336145" w:rsidTr="006B36C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000" w:type="pct"/>
            <w:tcBorders>
              <w:top w:val="single" w:sz="18" w:space="0" w:color="5B9BD5" w:themeColor="accent1"/>
              <w:left w:val="single" w:sz="12" w:space="0" w:color="5B9BD5" w:themeColor="accent1"/>
              <w:right w:val="single" w:sz="12" w:space="0" w:color="5B9BD5" w:themeColor="accent1"/>
            </w:tcBorders>
            <w:shd w:val="clear" w:color="auto" w:fill="DEEAF6" w:themeFill="accent1" w:themeFillTint="33"/>
            <w:noWrap/>
            <w:vAlign w:val="center"/>
          </w:tcPr>
          <w:p w:rsidR="00336145" w:rsidRPr="00336145" w:rsidRDefault="00336145" w:rsidP="00336145">
            <w:pPr>
              <w:spacing w:after="160" w:line="259" w:lineRule="auto"/>
              <w:rPr>
                <w:rFonts w:asciiTheme="minorHAnsi" w:eastAsiaTheme="minorHAnsi" w:hAnsiTheme="minorHAnsi" w:cstheme="minorBidi"/>
                <w:b/>
                <w:color w:val="auto"/>
                <w:sz w:val="22"/>
                <w:szCs w:val="22"/>
              </w:rPr>
            </w:pPr>
          </w:p>
          <w:p w:rsidR="00336145" w:rsidRPr="00336145" w:rsidRDefault="00336145" w:rsidP="00336145">
            <w:pPr>
              <w:spacing w:after="160" w:line="259" w:lineRule="auto"/>
              <w:rPr>
                <w:rFonts w:asciiTheme="minorHAnsi" w:eastAsiaTheme="minorHAnsi" w:hAnsiTheme="minorHAnsi" w:cstheme="minorBidi"/>
                <w:b/>
                <w:color w:val="auto"/>
                <w:sz w:val="22"/>
                <w:szCs w:val="22"/>
              </w:rPr>
            </w:pPr>
            <w:r w:rsidRPr="00336145">
              <w:rPr>
                <w:rFonts w:asciiTheme="minorHAnsi" w:eastAsiaTheme="minorHAnsi" w:hAnsiTheme="minorHAnsi" w:cstheme="minorBidi"/>
                <w:b/>
                <w:color w:val="auto"/>
                <w:sz w:val="22"/>
                <w:szCs w:val="22"/>
              </w:rPr>
              <w:t>Abitare Wazemmes</w:t>
            </w:r>
          </w:p>
          <w:p w:rsidR="00336145" w:rsidRPr="00336145" w:rsidRDefault="00336145" w:rsidP="00336145">
            <w:pPr>
              <w:spacing w:after="160" w:line="259" w:lineRule="auto"/>
              <w:rPr>
                <w:rFonts w:asciiTheme="minorHAnsi" w:eastAsiaTheme="minorHAnsi" w:hAnsiTheme="minorHAnsi" w:cstheme="minorBidi"/>
                <w:b/>
                <w:color w:val="auto"/>
                <w:sz w:val="22"/>
                <w:szCs w:val="22"/>
              </w:rPr>
            </w:pPr>
            <w:r w:rsidRPr="00336145">
              <w:rPr>
                <w:rFonts w:asciiTheme="minorHAnsi" w:eastAsiaTheme="minorHAnsi" w:hAnsiTheme="minorHAnsi" w:cstheme="minorBidi"/>
                <w:b/>
                <w:color w:val="auto"/>
                <w:sz w:val="22"/>
                <w:szCs w:val="22"/>
              </w:rPr>
              <w:t xml:space="preserve">                                                                                                                                                    Francia                                                                                                                                                                    </w:t>
            </w:r>
          </w:p>
        </w:tc>
      </w:tr>
      <w:tr w:rsidR="00336145" w:rsidRPr="00336145" w:rsidTr="006B3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Borders>
              <w:top w:val="single" w:sz="24" w:space="0" w:color="5B9BD5" w:themeColor="accent1"/>
              <w:left w:val="single" w:sz="12" w:space="0" w:color="5B9BD5" w:themeColor="accent1"/>
              <w:bottom w:val="single" w:sz="12"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b/>
                <w:color w:val="auto"/>
              </w:rPr>
              <w:t>Contesto</w:t>
            </w:r>
          </w:p>
        </w:tc>
      </w:tr>
      <w:tr w:rsidR="00336145" w:rsidRPr="00336145" w:rsidTr="006B36CF">
        <w:tc>
          <w:tcPr>
            <w:cnfStyle w:val="001000000000" w:firstRow="0" w:lastRow="0" w:firstColumn="1" w:lastColumn="0" w:oddVBand="0" w:evenVBand="0" w:oddHBand="0" w:evenHBand="0" w:firstRowFirstColumn="0" w:firstRowLastColumn="0" w:lastRowFirstColumn="0" w:lastRowLastColumn="0"/>
            <w:tcW w:w="5000" w:type="pct"/>
            <w:tcBorders>
              <w:top w:val="single" w:sz="12" w:space="0" w:color="5B9BD5" w:themeColor="accent1"/>
              <w:left w:val="single" w:sz="12" w:space="0" w:color="5B9BD5" w:themeColor="accent1"/>
              <w:bottom w:val="dashSmallGap" w:sz="4"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La 27esima Regione è il laboratorio d’innovazione pubblica delle Regioni Francesi. Essa ha lanciato nel 2009 il programma Territori in Residenza, una serie d progetti creativi portati avanti nei luoghi su temi al centro delle competenze regionali.</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 xml:space="preserve">Territori in residenza accoglie una equipe multidisciplinare costituita da progettisti, innovatori digitali, sociologi e ricercatori all’interno di un luogo attrezzato o di uno spazio pubblico, un liceo, un’università, un centro servizi, una stazione, un parco di imprese, un ecomuseo, un vivaio, un quartiere, una intercommunity, ecc. </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 xml:space="preserve">La medesima metodologia di progetto è utilizzata, qualunque sia l’oggetto del programma: manutenzioni, analisi, progettazione, ideazione e costruzione in collaborazione con gli utenti e gli abitanti, prototipazione. L’obiettivo è immaginare nuove modalità di realizzazione delle politiche pubbliche, più creative e progettate con gli utenti.  La 27 esima Regione ha insediato 11 residenze al 2010. </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 xml:space="preserve">La prima residenza, realizzata fuori dal quadro dell’operazione “Territori in Residenza”, è stata portata avanti nel quartiere di Wazemmes a Lille. </w:t>
            </w:r>
          </w:p>
        </w:tc>
      </w:tr>
      <w:tr w:rsidR="00336145" w:rsidRPr="00336145" w:rsidTr="006B3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Borders>
              <w:top w:val="dashSmallGap" w:sz="4" w:space="0" w:color="5B9BD5" w:themeColor="accent1"/>
              <w:left w:val="single" w:sz="12" w:space="0" w:color="5B9BD5" w:themeColor="accent1"/>
              <w:bottom w:val="single" w:sz="12"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b/>
                <w:color w:val="auto"/>
              </w:rPr>
              <w:t>Descrizione</w:t>
            </w:r>
          </w:p>
        </w:tc>
      </w:tr>
      <w:tr w:rsidR="00336145" w:rsidRPr="00336145" w:rsidTr="006B36CF">
        <w:tc>
          <w:tcPr>
            <w:cnfStyle w:val="001000000000" w:firstRow="0" w:lastRow="0" w:firstColumn="1" w:lastColumn="0" w:oddVBand="0" w:evenVBand="0" w:oddHBand="0" w:evenHBand="0" w:firstRowFirstColumn="0" w:firstRowLastColumn="0" w:lastRowFirstColumn="0" w:lastRowLastColumn="0"/>
            <w:tcW w:w="5000" w:type="pct"/>
            <w:tcBorders>
              <w:top w:val="single" w:sz="12" w:space="0" w:color="5B9BD5" w:themeColor="accent1"/>
              <w:left w:val="single" w:sz="12" w:space="0" w:color="5B9BD5" w:themeColor="accent1"/>
              <w:bottom w:val="dashSmallGap" w:sz="4"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 xml:space="preserve">L’iniziativa di questa residenza atipica nasce da un tessuto associativo locale (le Rèso Asso Mètro e l’associazione ArtZèmois) e un Comune (la Ville de Lille). I proponenti il progetto sono al tempo stesso i finanziatori. </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Wazemmes è un quartiere storico di Lille, popolare e misto in termini di condizioni sociali e origini culturali.</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Il problema della disoccupazione abbraccia degli ambiti di riflessione teorica e pratica piuttosto ampi: lo spazio pubblico e la partecipazione degli abitanti.</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Una persona del contesto locale è stata, inoltre, integrata nell’equipe dei residenti della prima settimana. Questa persona ha poi accompagnato l’insieme dei residenti e ha partecipato al loro trasferimento prima della realizzazione dei progetti sul territorio.</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 xml:space="preserve">Il progetto nasce da un’esigenza condivisa dagli abitanti di creare uno spazio comune per incontrarsi, per essere attivi, non restare bloccati a casa. </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 xml:space="preserve">Il partenariato di progetto ha innanzitutto avviato un’attività di ascolto del territorio, incontrando le associazioni locali per rilevare le principali problematiche sociali. Sono stati, altresì, ascoltati gli abitanti del quartiere per inventare nuovi modelli di abitare insieme. </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 xml:space="preserve">I residenti hanno, poi, lanciato un invito a partecipare ad un “atelier di idee”. Queste officine consistevano nell’invitare gli abitanti ad immaginare delle realizzazioni concrete a partire a partire dalle linee progettuali individuate dall’equipe. </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lastRenderedPageBreak/>
              <w:t>Il primo atelier era dedicato alla prima linea progettuale: “</w:t>
            </w:r>
            <w:r w:rsidRPr="00336145">
              <w:rPr>
                <w:rFonts w:asciiTheme="minorHAnsi" w:eastAsiaTheme="minorHAnsi" w:hAnsiTheme="minorHAnsi" w:cstheme="minorBidi"/>
                <w:b/>
                <w:color w:val="auto"/>
              </w:rPr>
              <w:t>Spazi pubblici da condividere</w:t>
            </w:r>
            <w:r w:rsidRPr="00336145">
              <w:rPr>
                <w:rFonts w:asciiTheme="minorHAnsi" w:eastAsiaTheme="minorHAnsi" w:hAnsiTheme="minorHAnsi" w:cstheme="minorBidi"/>
                <w:color w:val="auto"/>
              </w:rPr>
              <w:t>” come appropriarsi temporaneamente lo spazio pubblico?</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I residenti hanno distinto tre tipi di spazi che possono formare oggetto di un’azione collettiva:</w:t>
            </w:r>
          </w:p>
          <w:p w:rsidR="00336145" w:rsidRPr="00336145" w:rsidRDefault="00336145" w:rsidP="00336145">
            <w:pPr>
              <w:numPr>
                <w:ilvl w:val="0"/>
                <w:numId w:val="8"/>
              </w:num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Gli spazi pubblici abbandonati</w:t>
            </w:r>
          </w:p>
          <w:p w:rsidR="00336145" w:rsidRPr="00336145" w:rsidRDefault="00336145" w:rsidP="00336145">
            <w:pPr>
              <w:numPr>
                <w:ilvl w:val="0"/>
                <w:numId w:val="8"/>
              </w:num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Gli spazi pubblici in attesa di un progetto di rigenerazione</w:t>
            </w:r>
          </w:p>
          <w:p w:rsidR="00336145" w:rsidRPr="00336145" w:rsidRDefault="00336145" w:rsidP="00336145">
            <w:pPr>
              <w:numPr>
                <w:ilvl w:val="0"/>
                <w:numId w:val="8"/>
              </w:num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 xml:space="preserve">Gli spazi pubblici generalmente da evitare </w:t>
            </w:r>
          </w:p>
        </w:tc>
      </w:tr>
      <w:tr w:rsidR="00336145" w:rsidRPr="00336145" w:rsidTr="006B3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Borders>
              <w:top w:val="single" w:sz="12" w:space="0" w:color="5B9BD5" w:themeColor="accent1"/>
              <w:left w:val="single" w:sz="12" w:space="0" w:color="5B9BD5" w:themeColor="accent1"/>
              <w:bottom w:val="single" w:sz="12"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b/>
                <w:color w:val="auto"/>
              </w:rPr>
            </w:pPr>
            <w:r w:rsidRPr="00336145">
              <w:rPr>
                <w:rFonts w:asciiTheme="minorHAnsi" w:eastAsiaTheme="minorHAnsi" w:hAnsiTheme="minorHAnsi" w:cstheme="minorBidi"/>
                <w:b/>
                <w:color w:val="auto"/>
              </w:rPr>
              <w:lastRenderedPageBreak/>
              <w:t>I risultati del progetto</w:t>
            </w:r>
          </w:p>
        </w:tc>
      </w:tr>
      <w:tr w:rsidR="00336145" w:rsidRPr="00336145" w:rsidTr="006B36CF">
        <w:tc>
          <w:tcPr>
            <w:cnfStyle w:val="001000000000" w:firstRow="0" w:lastRow="0" w:firstColumn="1" w:lastColumn="0" w:oddVBand="0" w:evenVBand="0" w:oddHBand="0" w:evenHBand="0" w:firstRowFirstColumn="0" w:firstRowLastColumn="0" w:lastRowFirstColumn="0" w:lastRowLastColumn="0"/>
            <w:tcW w:w="5000" w:type="pct"/>
            <w:tcBorders>
              <w:top w:val="single" w:sz="12" w:space="0" w:color="5B9BD5" w:themeColor="accent1"/>
              <w:left w:val="single" w:sz="12" w:space="0" w:color="5B9BD5" w:themeColor="accent1"/>
              <w:bottom w:val="dashSmallGap" w:sz="4"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Nell’ambito del primo filone d’intervento sono emerse alcune idee progettuali, successivamente realizzate:</w:t>
            </w:r>
          </w:p>
          <w:p w:rsidR="00336145" w:rsidRPr="00336145" w:rsidRDefault="00336145" w:rsidP="00336145">
            <w:pPr>
              <w:numPr>
                <w:ilvl w:val="0"/>
                <w:numId w:val="9"/>
              </w:numPr>
              <w:spacing w:after="160" w:line="259" w:lineRule="auto"/>
              <w:rPr>
                <w:rFonts w:asciiTheme="minorHAnsi" w:eastAsiaTheme="minorHAnsi" w:hAnsiTheme="minorHAnsi" w:cstheme="minorBidi"/>
                <w:b/>
                <w:color w:val="auto"/>
              </w:rPr>
            </w:pPr>
            <w:r w:rsidRPr="00336145">
              <w:rPr>
                <w:rFonts w:asciiTheme="minorHAnsi" w:eastAsiaTheme="minorHAnsi" w:hAnsiTheme="minorHAnsi" w:cstheme="minorBidi"/>
                <w:b/>
                <w:color w:val="auto"/>
              </w:rPr>
              <w:t xml:space="preserve">“La strada in vacanza”: </w:t>
            </w:r>
            <w:r w:rsidRPr="00336145">
              <w:rPr>
                <w:rFonts w:asciiTheme="minorHAnsi" w:eastAsiaTheme="minorHAnsi" w:hAnsiTheme="minorHAnsi" w:cstheme="minorBidi"/>
                <w:color w:val="auto"/>
              </w:rPr>
              <w:t>durante i mesi estivi</w:t>
            </w:r>
            <w:r w:rsidRPr="00336145">
              <w:rPr>
                <w:rFonts w:asciiTheme="minorHAnsi" w:eastAsiaTheme="minorHAnsi" w:hAnsiTheme="minorHAnsi" w:cstheme="minorBidi"/>
                <w:b/>
                <w:color w:val="auto"/>
              </w:rPr>
              <w:t xml:space="preserve"> </w:t>
            </w:r>
            <w:r w:rsidRPr="00336145">
              <w:rPr>
                <w:rFonts w:asciiTheme="minorHAnsi" w:eastAsiaTheme="minorHAnsi" w:hAnsiTheme="minorHAnsi" w:cstheme="minorBidi"/>
                <w:color w:val="auto"/>
              </w:rPr>
              <w:t>alcune strade meno frequentate</w:t>
            </w:r>
            <w:r w:rsidRPr="00336145">
              <w:rPr>
                <w:rFonts w:asciiTheme="minorHAnsi" w:eastAsiaTheme="minorHAnsi" w:hAnsiTheme="minorHAnsi" w:cstheme="minorBidi"/>
                <w:b/>
                <w:color w:val="auto"/>
              </w:rPr>
              <w:t xml:space="preserve"> </w:t>
            </w:r>
            <w:r w:rsidRPr="00336145">
              <w:rPr>
                <w:rFonts w:asciiTheme="minorHAnsi" w:eastAsiaTheme="minorHAnsi" w:hAnsiTheme="minorHAnsi" w:cstheme="minorBidi"/>
                <w:color w:val="auto"/>
              </w:rPr>
              <w:t xml:space="preserve">sono sbarrate e ridate agli abitanti per organizzarci piccoli eventi festivi </w:t>
            </w:r>
          </w:p>
          <w:p w:rsidR="00336145" w:rsidRPr="00336145" w:rsidRDefault="00336145" w:rsidP="00336145">
            <w:pPr>
              <w:numPr>
                <w:ilvl w:val="0"/>
                <w:numId w:val="9"/>
              </w:numPr>
              <w:spacing w:after="160" w:line="259" w:lineRule="auto"/>
              <w:rPr>
                <w:rFonts w:asciiTheme="minorHAnsi" w:eastAsiaTheme="minorHAnsi" w:hAnsiTheme="minorHAnsi" w:cstheme="minorBidi"/>
                <w:b/>
                <w:color w:val="auto"/>
              </w:rPr>
            </w:pPr>
            <w:r w:rsidRPr="00336145">
              <w:rPr>
                <w:rFonts w:asciiTheme="minorHAnsi" w:eastAsiaTheme="minorHAnsi" w:hAnsiTheme="minorHAnsi" w:cstheme="minorBidi"/>
                <w:b/>
                <w:color w:val="auto"/>
              </w:rPr>
              <w:t xml:space="preserve">Mettere degli stand, delle panchine, delle fioriere </w:t>
            </w:r>
            <w:r w:rsidRPr="00336145">
              <w:rPr>
                <w:rFonts w:asciiTheme="minorHAnsi" w:eastAsiaTheme="minorHAnsi" w:hAnsiTheme="minorHAnsi" w:cstheme="minorBidi"/>
                <w:color w:val="auto"/>
              </w:rPr>
              <w:t>per costruire un angolo di giardino comune</w:t>
            </w:r>
          </w:p>
          <w:p w:rsidR="00336145" w:rsidRPr="00336145" w:rsidRDefault="00336145" w:rsidP="00336145">
            <w:pPr>
              <w:numPr>
                <w:ilvl w:val="0"/>
                <w:numId w:val="9"/>
              </w:numPr>
              <w:spacing w:after="160" w:line="259" w:lineRule="auto"/>
              <w:rPr>
                <w:rFonts w:asciiTheme="minorHAnsi" w:eastAsiaTheme="minorHAnsi" w:hAnsiTheme="minorHAnsi" w:cstheme="minorBidi"/>
                <w:b/>
                <w:color w:val="auto"/>
              </w:rPr>
            </w:pPr>
            <w:r w:rsidRPr="00336145">
              <w:rPr>
                <w:rFonts w:asciiTheme="minorHAnsi" w:eastAsiaTheme="minorHAnsi" w:hAnsiTheme="minorHAnsi" w:cstheme="minorBidi"/>
                <w:b/>
                <w:color w:val="auto"/>
              </w:rPr>
              <w:t xml:space="preserve">Disegnare con il gesso, </w:t>
            </w:r>
            <w:r w:rsidRPr="00336145">
              <w:rPr>
                <w:rFonts w:asciiTheme="minorHAnsi" w:eastAsiaTheme="minorHAnsi" w:hAnsiTheme="minorHAnsi" w:cstheme="minorBidi"/>
                <w:color w:val="auto"/>
              </w:rPr>
              <w:t>appropriarsi della strada</w:t>
            </w:r>
            <w:r w:rsidRPr="00336145">
              <w:rPr>
                <w:rFonts w:asciiTheme="minorHAnsi" w:eastAsiaTheme="minorHAnsi" w:hAnsiTheme="minorHAnsi" w:cstheme="minorBidi"/>
                <w:b/>
                <w:color w:val="auto"/>
              </w:rPr>
              <w:t xml:space="preserve"> </w:t>
            </w:r>
            <w:r w:rsidRPr="00336145">
              <w:rPr>
                <w:rFonts w:asciiTheme="minorHAnsi" w:eastAsiaTheme="minorHAnsi" w:hAnsiTheme="minorHAnsi" w:cstheme="minorBidi"/>
                <w:color w:val="auto"/>
              </w:rPr>
              <w:t>per consentire di esprimersi, temporaneamente in uno spazio pubblico o nella strada</w:t>
            </w:r>
          </w:p>
          <w:p w:rsidR="00336145" w:rsidRPr="00336145" w:rsidRDefault="00336145" w:rsidP="00336145">
            <w:pPr>
              <w:numPr>
                <w:ilvl w:val="0"/>
                <w:numId w:val="9"/>
              </w:numPr>
              <w:spacing w:after="160" w:line="259" w:lineRule="auto"/>
              <w:rPr>
                <w:rFonts w:asciiTheme="minorHAnsi" w:eastAsiaTheme="minorHAnsi" w:hAnsiTheme="minorHAnsi" w:cstheme="minorBidi"/>
                <w:b/>
                <w:color w:val="auto"/>
              </w:rPr>
            </w:pPr>
            <w:r w:rsidRPr="00336145">
              <w:rPr>
                <w:rFonts w:asciiTheme="minorHAnsi" w:eastAsiaTheme="minorHAnsi" w:hAnsiTheme="minorHAnsi" w:cstheme="minorBidi"/>
                <w:b/>
                <w:color w:val="auto"/>
              </w:rPr>
              <w:t xml:space="preserve">“Zem la bici” </w:t>
            </w:r>
            <w:r w:rsidRPr="00336145">
              <w:rPr>
                <w:rFonts w:asciiTheme="minorHAnsi" w:eastAsiaTheme="minorHAnsi" w:hAnsiTheme="minorHAnsi" w:cstheme="minorBidi"/>
                <w:color w:val="auto"/>
              </w:rPr>
              <w:t>un’officina fai da te, e di consigli per la riparazione delle biciclette</w:t>
            </w:r>
            <w:r w:rsidRPr="00336145">
              <w:rPr>
                <w:rFonts w:asciiTheme="minorHAnsi" w:eastAsiaTheme="minorHAnsi" w:hAnsiTheme="minorHAnsi" w:cstheme="minorBidi"/>
                <w:b/>
                <w:color w:val="auto"/>
              </w:rPr>
              <w:t xml:space="preserve"> </w:t>
            </w:r>
          </w:p>
          <w:p w:rsidR="00336145" w:rsidRPr="00336145" w:rsidRDefault="00336145" w:rsidP="00336145">
            <w:pPr>
              <w:spacing w:after="160" w:line="259" w:lineRule="auto"/>
              <w:rPr>
                <w:rFonts w:asciiTheme="minorHAnsi" w:eastAsiaTheme="minorHAnsi" w:hAnsiTheme="minorHAnsi" w:cstheme="minorBidi"/>
                <w:b/>
                <w:color w:val="auto"/>
              </w:rPr>
            </w:pPr>
          </w:p>
          <w:p w:rsidR="00336145" w:rsidRPr="00336145" w:rsidRDefault="00336145" w:rsidP="00336145">
            <w:pPr>
              <w:spacing w:after="160" w:line="259" w:lineRule="auto"/>
              <w:rPr>
                <w:rFonts w:asciiTheme="minorHAnsi" w:eastAsiaTheme="minorHAnsi" w:hAnsiTheme="minorHAnsi" w:cstheme="minorBidi"/>
                <w:b/>
                <w:color w:val="auto"/>
              </w:rPr>
            </w:pPr>
            <w:r w:rsidRPr="00336145">
              <w:rPr>
                <w:rFonts w:asciiTheme="minorHAnsi" w:eastAsiaTheme="minorHAnsi" w:hAnsiTheme="minorHAnsi" w:cstheme="minorBidi"/>
                <w:b/>
                <w:color w:val="auto"/>
              </w:rPr>
              <w:t>Per quanto concerne la linea di progetto dedicata ad una “comunicazione di strada” sono state realizzate due iniziative:</w:t>
            </w:r>
          </w:p>
          <w:p w:rsidR="00336145" w:rsidRPr="00336145" w:rsidRDefault="00336145" w:rsidP="00336145">
            <w:pPr>
              <w:numPr>
                <w:ilvl w:val="0"/>
                <w:numId w:val="10"/>
              </w:numPr>
              <w:spacing w:after="160" w:line="259" w:lineRule="auto"/>
              <w:rPr>
                <w:rFonts w:asciiTheme="minorHAnsi" w:eastAsiaTheme="minorHAnsi" w:hAnsiTheme="minorHAnsi" w:cstheme="minorBidi"/>
                <w:b/>
                <w:color w:val="auto"/>
              </w:rPr>
            </w:pPr>
            <w:r w:rsidRPr="00336145">
              <w:rPr>
                <w:rFonts w:asciiTheme="minorHAnsi" w:eastAsiaTheme="minorHAnsi" w:hAnsiTheme="minorHAnsi" w:cstheme="minorBidi"/>
                <w:b/>
                <w:color w:val="auto"/>
              </w:rPr>
              <w:t xml:space="preserve">“Il banditore pubblico”: </w:t>
            </w:r>
            <w:r w:rsidRPr="00336145">
              <w:rPr>
                <w:rFonts w:asciiTheme="minorHAnsi" w:eastAsiaTheme="minorHAnsi" w:hAnsiTheme="minorHAnsi" w:cstheme="minorBidi"/>
                <w:color w:val="auto"/>
              </w:rPr>
              <w:t>i residenti del quartiere</w:t>
            </w:r>
            <w:r w:rsidRPr="00336145">
              <w:rPr>
                <w:rFonts w:asciiTheme="minorHAnsi" w:eastAsiaTheme="minorHAnsi" w:hAnsiTheme="minorHAnsi" w:cstheme="minorBidi"/>
                <w:b/>
                <w:color w:val="auto"/>
              </w:rPr>
              <w:t xml:space="preserve"> </w:t>
            </w:r>
            <w:r w:rsidRPr="00336145">
              <w:rPr>
                <w:rFonts w:asciiTheme="minorHAnsi" w:eastAsiaTheme="minorHAnsi" w:hAnsiTheme="minorHAnsi" w:cstheme="minorBidi"/>
                <w:color w:val="auto"/>
              </w:rPr>
              <w:t>hanno approfittato delle “officine creative” per realizzare delle cassette di posta del banditore da mettere presso i locali dell’associazione “l’Arancio Blue”, nei caffè, alla boulangerie.  Altre cassette sono state realizzate dagli abitanti e distribuite porta a porta, per lasciare un messaggio da veicolare al banditore pubblico.</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 xml:space="preserve">Il progetto è esitato nella creazione della figura del banditore pubblico, che girava per le strade del quartiere per annunciare i programmi d’azione, gli eventi gratuiti, le informazioni sociali, i messaggi personali.  </w:t>
            </w:r>
          </w:p>
          <w:p w:rsidR="00336145" w:rsidRPr="00336145" w:rsidRDefault="00336145" w:rsidP="00336145">
            <w:pPr>
              <w:spacing w:after="160" w:line="259" w:lineRule="auto"/>
              <w:rPr>
                <w:rFonts w:asciiTheme="minorHAnsi" w:eastAsiaTheme="minorHAnsi" w:hAnsiTheme="minorHAnsi" w:cstheme="minorBidi"/>
                <w:color w:val="auto"/>
              </w:rPr>
            </w:pPr>
          </w:p>
          <w:p w:rsidR="00336145" w:rsidRPr="00336145" w:rsidRDefault="00336145" w:rsidP="00336145">
            <w:pPr>
              <w:numPr>
                <w:ilvl w:val="0"/>
                <w:numId w:val="10"/>
              </w:num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b/>
                <w:color w:val="auto"/>
              </w:rPr>
              <w:t xml:space="preserve">“Foto Zem”: </w:t>
            </w:r>
            <w:r w:rsidRPr="00336145">
              <w:rPr>
                <w:rFonts w:asciiTheme="minorHAnsi" w:eastAsiaTheme="minorHAnsi" w:hAnsiTheme="minorHAnsi" w:cstheme="minorBidi"/>
                <w:color w:val="auto"/>
              </w:rPr>
              <w:t>questo progetto</w:t>
            </w:r>
            <w:r w:rsidRPr="00336145">
              <w:rPr>
                <w:rFonts w:asciiTheme="minorHAnsi" w:eastAsiaTheme="minorHAnsi" w:hAnsiTheme="minorHAnsi" w:cstheme="minorBidi"/>
                <w:b/>
                <w:color w:val="auto"/>
              </w:rPr>
              <w:t xml:space="preserve"> </w:t>
            </w:r>
            <w:r w:rsidRPr="00336145">
              <w:rPr>
                <w:rFonts w:asciiTheme="minorHAnsi" w:eastAsiaTheme="minorHAnsi" w:hAnsiTheme="minorHAnsi" w:cstheme="minorBidi"/>
                <w:color w:val="auto"/>
              </w:rPr>
              <w:t>è destinato principalmente</w:t>
            </w:r>
            <w:r w:rsidRPr="00336145">
              <w:rPr>
                <w:rFonts w:asciiTheme="minorHAnsi" w:eastAsiaTheme="minorHAnsi" w:hAnsiTheme="minorHAnsi" w:cstheme="minorBidi"/>
                <w:b/>
                <w:color w:val="auto"/>
              </w:rPr>
              <w:t xml:space="preserve"> </w:t>
            </w:r>
            <w:r w:rsidRPr="00336145">
              <w:rPr>
                <w:rFonts w:asciiTheme="minorHAnsi" w:eastAsiaTheme="minorHAnsi" w:hAnsiTheme="minorHAnsi" w:cstheme="minorBidi"/>
                <w:color w:val="auto"/>
              </w:rPr>
              <w:t xml:space="preserve">ai giovani del quartiere e agli utilizzatori del telefono cellulare. La proposta è di scattare una foto del quartiere in risposta ad una tematica. Le foto erano visibili su un blog dedicato al progetto e collegate ad un giornale di quartiere. </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 xml:space="preserve">Queste foto potevano essere, inoltre, affisse alle vetrine dei negozi, trasmesse sugli schermi nei caffè, pubblicate sui giornali di quartiere, affisse negli spazi pubblici.  </w:t>
            </w:r>
          </w:p>
          <w:p w:rsidR="00336145" w:rsidRPr="00336145" w:rsidRDefault="00336145" w:rsidP="00336145">
            <w:pPr>
              <w:spacing w:after="160" w:line="259" w:lineRule="auto"/>
              <w:rPr>
                <w:rFonts w:asciiTheme="minorHAnsi" w:eastAsiaTheme="minorHAnsi" w:hAnsiTheme="minorHAnsi" w:cstheme="minorBidi"/>
                <w:b/>
                <w:color w:val="auto"/>
              </w:rPr>
            </w:pPr>
            <w:r w:rsidRPr="00336145">
              <w:rPr>
                <w:rFonts w:asciiTheme="minorHAnsi" w:eastAsiaTheme="minorHAnsi" w:hAnsiTheme="minorHAnsi" w:cstheme="minorBidi"/>
                <w:color w:val="auto"/>
              </w:rPr>
              <w:t xml:space="preserve">Il gruppo di lavoro ha ipotizzato che l’esposizione di queste foto in spazi pubblici avrebbe potuto stimolare un dibattito sui temi ivi rappresentati. </w:t>
            </w:r>
          </w:p>
        </w:tc>
      </w:tr>
      <w:tr w:rsidR="00336145" w:rsidRPr="00336145" w:rsidTr="006B3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Borders>
              <w:top w:val="dashSmallGap" w:sz="4" w:space="0" w:color="5B9BD5" w:themeColor="accent1"/>
              <w:left w:val="single" w:sz="12" w:space="0" w:color="5B9BD5" w:themeColor="accent1"/>
              <w:bottom w:val="single" w:sz="12"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b/>
                <w:color w:val="auto"/>
              </w:rPr>
              <w:t>Gruppi target</w:t>
            </w:r>
          </w:p>
        </w:tc>
      </w:tr>
      <w:tr w:rsidR="00336145" w:rsidRPr="00336145" w:rsidTr="006B36CF">
        <w:tc>
          <w:tcPr>
            <w:cnfStyle w:val="001000000000" w:firstRow="0" w:lastRow="0" w:firstColumn="1" w:lastColumn="0" w:oddVBand="0" w:evenVBand="0" w:oddHBand="0" w:evenHBand="0" w:firstRowFirstColumn="0" w:firstRowLastColumn="0" w:lastRowFirstColumn="0" w:lastRowLastColumn="0"/>
            <w:tcW w:w="5000" w:type="pct"/>
            <w:tcBorders>
              <w:top w:val="single" w:sz="12" w:space="0" w:color="5B9BD5" w:themeColor="accent1"/>
              <w:left w:val="single" w:sz="12" w:space="0" w:color="5B9BD5" w:themeColor="accent1"/>
              <w:bottom w:val="single" w:sz="12"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Abitanti del quartiere Wazemmes</w:t>
            </w:r>
          </w:p>
        </w:tc>
      </w:tr>
    </w:tbl>
    <w:p w:rsidR="005B2595" w:rsidRDefault="005B2595" w:rsidP="00336145">
      <w:pPr>
        <w:rPr>
          <w:b/>
        </w:rPr>
      </w:pPr>
    </w:p>
    <w:tbl>
      <w:tblPr>
        <w:tblStyle w:val="Elencomedio2-Colore1"/>
        <w:tblW w:w="5000" w:type="pct"/>
        <w:tblLook w:val="04A0" w:firstRow="1" w:lastRow="0" w:firstColumn="1" w:lastColumn="0" w:noHBand="0" w:noVBand="1"/>
      </w:tblPr>
      <w:tblGrid>
        <w:gridCol w:w="9608"/>
      </w:tblGrid>
      <w:tr w:rsidR="00336145" w:rsidRPr="00336145" w:rsidTr="006B36C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000" w:type="pct"/>
            <w:tcBorders>
              <w:top w:val="single" w:sz="18" w:space="0" w:color="5B9BD5" w:themeColor="accent1"/>
              <w:left w:val="single" w:sz="12" w:space="0" w:color="5B9BD5" w:themeColor="accent1"/>
              <w:right w:val="single" w:sz="12" w:space="0" w:color="5B9BD5" w:themeColor="accent1"/>
            </w:tcBorders>
            <w:shd w:val="clear" w:color="auto" w:fill="DEEAF6" w:themeFill="accent1" w:themeFillTint="33"/>
            <w:noWrap/>
            <w:vAlign w:val="center"/>
          </w:tcPr>
          <w:p w:rsidR="00336145" w:rsidRPr="00336145" w:rsidRDefault="00336145" w:rsidP="00336145">
            <w:pPr>
              <w:spacing w:after="160" w:line="259" w:lineRule="auto"/>
              <w:rPr>
                <w:rFonts w:asciiTheme="minorHAnsi" w:eastAsiaTheme="minorHAnsi" w:hAnsiTheme="minorHAnsi" w:cstheme="minorBidi"/>
                <w:b/>
                <w:color w:val="auto"/>
                <w:sz w:val="22"/>
                <w:szCs w:val="22"/>
              </w:rPr>
            </w:pPr>
            <w:bookmarkStart w:id="0" w:name="_GoBack"/>
            <w:bookmarkEnd w:id="0"/>
            <w:r w:rsidRPr="00336145">
              <w:rPr>
                <w:rFonts w:asciiTheme="minorHAnsi" w:eastAsiaTheme="minorHAnsi" w:hAnsiTheme="minorHAnsi" w:cstheme="minorBidi"/>
                <w:color w:val="auto"/>
                <w:sz w:val="22"/>
                <w:szCs w:val="22"/>
              </w:rPr>
              <w:lastRenderedPageBreak/>
              <w:br w:type="page"/>
            </w:r>
          </w:p>
          <w:p w:rsidR="00336145" w:rsidRPr="00336145" w:rsidRDefault="00336145" w:rsidP="00336145">
            <w:pPr>
              <w:spacing w:after="160" w:line="259" w:lineRule="auto"/>
              <w:rPr>
                <w:rFonts w:asciiTheme="minorHAnsi" w:eastAsiaTheme="minorHAnsi" w:hAnsiTheme="minorHAnsi" w:cstheme="minorBidi"/>
                <w:b/>
                <w:color w:val="auto"/>
                <w:sz w:val="22"/>
                <w:szCs w:val="22"/>
              </w:rPr>
            </w:pPr>
            <w:r w:rsidRPr="00336145">
              <w:rPr>
                <w:rFonts w:asciiTheme="minorHAnsi" w:eastAsiaTheme="minorHAnsi" w:hAnsiTheme="minorHAnsi" w:cstheme="minorBidi"/>
                <w:b/>
                <w:color w:val="auto"/>
                <w:sz w:val="22"/>
                <w:szCs w:val="22"/>
              </w:rPr>
              <w:t>L’alternativa urbana</w:t>
            </w:r>
          </w:p>
          <w:p w:rsidR="00336145" w:rsidRPr="00336145" w:rsidRDefault="00336145" w:rsidP="00336145">
            <w:pPr>
              <w:spacing w:after="160" w:line="259" w:lineRule="auto"/>
              <w:rPr>
                <w:rFonts w:asciiTheme="minorHAnsi" w:eastAsiaTheme="minorHAnsi" w:hAnsiTheme="minorHAnsi" w:cstheme="minorBidi"/>
                <w:b/>
                <w:color w:val="auto"/>
                <w:sz w:val="22"/>
                <w:szCs w:val="22"/>
              </w:rPr>
            </w:pPr>
            <w:r w:rsidRPr="00336145">
              <w:rPr>
                <w:rFonts w:asciiTheme="minorHAnsi" w:eastAsiaTheme="minorHAnsi" w:hAnsiTheme="minorHAnsi" w:cstheme="minorBidi"/>
                <w:b/>
                <w:color w:val="auto"/>
                <w:sz w:val="22"/>
                <w:szCs w:val="22"/>
              </w:rPr>
              <w:t xml:space="preserve">                                                                                                                                                         Francia </w:t>
            </w:r>
          </w:p>
          <w:p w:rsidR="00336145" w:rsidRPr="00336145" w:rsidRDefault="00336145" w:rsidP="00336145">
            <w:pPr>
              <w:spacing w:after="160" w:line="259" w:lineRule="auto"/>
              <w:rPr>
                <w:rFonts w:asciiTheme="minorHAnsi" w:eastAsiaTheme="minorHAnsi" w:hAnsiTheme="minorHAnsi" w:cstheme="minorBidi"/>
                <w:b/>
                <w:color w:val="auto"/>
                <w:sz w:val="22"/>
                <w:szCs w:val="22"/>
              </w:rPr>
            </w:pPr>
            <w:r w:rsidRPr="00336145">
              <w:rPr>
                <w:rFonts w:asciiTheme="minorHAnsi" w:eastAsiaTheme="minorHAnsi" w:hAnsiTheme="minorHAnsi" w:cstheme="minorBidi"/>
                <w:b/>
                <w:color w:val="auto"/>
                <w:sz w:val="22"/>
                <w:szCs w:val="22"/>
              </w:rPr>
              <w:t xml:space="preserve">                                                                                                                                                                                           </w:t>
            </w:r>
          </w:p>
        </w:tc>
      </w:tr>
      <w:tr w:rsidR="00336145" w:rsidRPr="00336145" w:rsidTr="006B3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Borders>
              <w:top w:val="single" w:sz="24" w:space="0" w:color="5B9BD5" w:themeColor="accent1"/>
              <w:left w:val="single" w:sz="12" w:space="0" w:color="5B9BD5" w:themeColor="accent1"/>
              <w:bottom w:val="single" w:sz="12"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b/>
                <w:color w:val="auto"/>
              </w:rPr>
              <w:t>Contesto</w:t>
            </w:r>
          </w:p>
        </w:tc>
      </w:tr>
      <w:tr w:rsidR="00336145" w:rsidRPr="00336145" w:rsidTr="006B36CF">
        <w:tc>
          <w:tcPr>
            <w:cnfStyle w:val="001000000000" w:firstRow="0" w:lastRow="0" w:firstColumn="1" w:lastColumn="0" w:oddVBand="0" w:evenVBand="0" w:oddHBand="0" w:evenHBand="0" w:firstRowFirstColumn="0" w:firstRowLastColumn="0" w:lastRowFirstColumn="0" w:lastRowLastColumn="0"/>
            <w:tcW w:w="5000" w:type="pct"/>
            <w:tcBorders>
              <w:top w:val="single" w:sz="12" w:space="0" w:color="5B9BD5" w:themeColor="accent1"/>
              <w:left w:val="single" w:sz="12" w:space="0" w:color="5B9BD5" w:themeColor="accent1"/>
              <w:bottom w:val="dashSmallGap" w:sz="4"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 xml:space="preserve"> Per consentire alle persone più lontane dal mercato del lavoro di reintegrarsi professionalmente, oggi vengono proposte molte forme di collegamento all'occupazione. Queste passerelle, tuttavia, si concentrano molto spesso sui settori commerciali tradizionali: costruzione, pulizia, movimentazione, spazi verdi, ristorazione ecc.</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Da questa osservazione, Selma Sardouk ha immaginato un'alternativa alle tradizionali attività di integrazione proponendo ai senzatetto (SDF) di offrire passeggiate urbane a Parigi destinate ai turisti. Iniziative simili esistono in diverse grandi città europee, ma dopo un sondaggio non è stato trovato nulla di simile in Francia. Originaria dell'Ile-de-France e dopo aver viaggiato con l'obiettivo di lavorare nel turismo solidale, Selma Sardouk ha voluto sviluppare il suo progetto innovativo in una delle città più turistiche del mondo.</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Queste passeggiate urbane danno alle persone lontane dal mondo del lavoro un'opportunità unica di poter trasmettere conoscenza al pubblico, attraverso la realizzazione di una visita a loro immagine. Le passeggiate consentono lo sviluppo di una nuova offerta di servizi turistici nella capitale che unisce cultura e integrazione.</w:t>
            </w:r>
          </w:p>
          <w:p w:rsidR="00336145" w:rsidRPr="00336145" w:rsidRDefault="00336145" w:rsidP="00336145">
            <w:pPr>
              <w:spacing w:after="160" w:line="259" w:lineRule="auto"/>
              <w:rPr>
                <w:rFonts w:asciiTheme="minorHAnsi" w:eastAsiaTheme="minorHAnsi" w:hAnsiTheme="minorHAnsi" w:cstheme="minorBidi"/>
                <w:color w:val="auto"/>
              </w:rPr>
            </w:pPr>
          </w:p>
        </w:tc>
      </w:tr>
      <w:tr w:rsidR="00336145" w:rsidRPr="00336145" w:rsidTr="006B3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Borders>
              <w:top w:val="dashSmallGap" w:sz="4" w:space="0" w:color="5B9BD5" w:themeColor="accent1"/>
              <w:left w:val="single" w:sz="12" w:space="0" w:color="5B9BD5" w:themeColor="accent1"/>
              <w:bottom w:val="single" w:sz="12"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b/>
                <w:color w:val="auto"/>
              </w:rPr>
              <w:t>Descrizione</w:t>
            </w:r>
          </w:p>
        </w:tc>
      </w:tr>
      <w:tr w:rsidR="00336145" w:rsidRPr="00336145" w:rsidTr="006B36CF">
        <w:tc>
          <w:tcPr>
            <w:cnfStyle w:val="001000000000" w:firstRow="0" w:lastRow="0" w:firstColumn="1" w:lastColumn="0" w:oddVBand="0" w:evenVBand="0" w:oddHBand="0" w:evenHBand="0" w:firstRowFirstColumn="0" w:firstRowLastColumn="0" w:lastRowFirstColumn="0" w:lastRowLastColumn="0"/>
            <w:tcW w:w="5000" w:type="pct"/>
            <w:tcBorders>
              <w:top w:val="single" w:sz="12" w:space="0" w:color="5B9BD5" w:themeColor="accent1"/>
              <w:left w:val="single" w:sz="12" w:space="0" w:color="5B9BD5" w:themeColor="accent1"/>
              <w:bottom w:val="dashSmallGap" w:sz="4"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L'alternativa urbana combatte l'esclusione sociale e professionale formando le persone lontano dal mondo del lavoro all'animazione delle passeggiate urbane nei diversi quartieri di Parigi.</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Inizialmente "sperimentato" sul campo, il progetto Alternativa Urbana è stato testato nel distretto di République. Posto all’uscita della metropolitana con un cartello e accompagnato da un istruttore, un senzatetto ha incoraggiato i passanti a fare una visita insolita al vicinato con loro. L’entusiasmo era forte ed è nata l'alternativa urbana.</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Con lo sviluppo della struttura, i manager hanno aperto il progetto a persone lontane dal mercato del lavoro in generale e non solo ai senzatetto. L’attenzione dei media ha posto alcuni problemi di immagine concentrandosi esclusivamente sui senzatetto e usando questo argomento per promuovere l'insolita struttura e il progetto.</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La struttura ha incontrato alcune difficoltà all'inizio per riconoscere la sua innovazione sociale. L'integrazione dell'acceleratore di innovazione start-up sociali, il Sense Cube, ha aiutato Selma Sardouk. L'acceleratore le ha permesso di essere accompagnata per 6 mesi, e quindi di trovare un partner e lavorare con i funzionari dell’integrazione al fine di costruire un percorso di inserimento per le persone lontano dal mondo del lavoro.</w:t>
            </w:r>
          </w:p>
        </w:tc>
      </w:tr>
      <w:tr w:rsidR="00336145" w:rsidRPr="00336145" w:rsidTr="006B3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Borders>
              <w:top w:val="single" w:sz="12" w:space="0" w:color="5B9BD5" w:themeColor="accent1"/>
              <w:left w:val="single" w:sz="12" w:space="0" w:color="5B9BD5" w:themeColor="accent1"/>
              <w:bottom w:val="single" w:sz="12"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b/>
                <w:color w:val="auto"/>
              </w:rPr>
            </w:pPr>
            <w:r w:rsidRPr="00336145">
              <w:rPr>
                <w:rFonts w:asciiTheme="minorHAnsi" w:eastAsiaTheme="minorHAnsi" w:hAnsiTheme="minorHAnsi" w:cstheme="minorBidi"/>
                <w:b/>
                <w:color w:val="auto"/>
              </w:rPr>
              <w:t>I risultati del progetto</w:t>
            </w:r>
          </w:p>
        </w:tc>
      </w:tr>
      <w:tr w:rsidR="00336145" w:rsidRPr="00336145" w:rsidTr="006B36CF">
        <w:tc>
          <w:tcPr>
            <w:cnfStyle w:val="001000000000" w:firstRow="0" w:lastRow="0" w:firstColumn="1" w:lastColumn="0" w:oddVBand="0" w:evenVBand="0" w:oddHBand="0" w:evenHBand="0" w:firstRowFirstColumn="0" w:firstRowLastColumn="0" w:lastRowFirstColumn="0" w:lastRowLastColumn="0"/>
            <w:tcW w:w="5000" w:type="pct"/>
            <w:tcBorders>
              <w:top w:val="single" w:sz="12" w:space="0" w:color="5B9BD5" w:themeColor="accent1"/>
              <w:left w:val="single" w:sz="12" w:space="0" w:color="5B9BD5" w:themeColor="accent1"/>
              <w:bottom w:val="dashSmallGap" w:sz="4"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lastRenderedPageBreak/>
              <w:t>L'Alternativa Urbana mantiene collaborazioni con associazioni in relazione a target molto precari. Tra questi partner ci sono Ilot, un'associazione di ex detenuti, Secours catholique e AutreMonde, associazioni che lottano contro l'esclusione. Questa collaborazione consente ad Alternativa Urbana di avere partner che individuano le persone lontano dal lavoro, probabilmente interessate al progetto.</w:t>
            </w: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Secours Catholique, ad esempio, promuove incontri tra l'alternativa urbana e nuove persone in una situazione di esclusione. Si impegna a organizzare un follow-up con l'associazione e quindi a conoscere l'evoluzione della situazione della persona, di eventuali difficoltà, ecc.</w:t>
            </w:r>
          </w:p>
          <w:p w:rsidR="00336145" w:rsidRPr="00336145" w:rsidRDefault="00336145" w:rsidP="00336145">
            <w:pPr>
              <w:spacing w:after="160" w:line="259" w:lineRule="auto"/>
              <w:rPr>
                <w:rFonts w:asciiTheme="minorHAnsi" w:eastAsiaTheme="minorHAnsi" w:hAnsiTheme="minorHAnsi" w:cstheme="minorBidi"/>
                <w:b/>
                <w:color w:val="auto"/>
              </w:rPr>
            </w:pPr>
            <w:r w:rsidRPr="00336145">
              <w:rPr>
                <w:rFonts w:asciiTheme="minorHAnsi" w:eastAsiaTheme="minorHAnsi" w:hAnsiTheme="minorHAnsi" w:cstheme="minorBidi"/>
                <w:color w:val="auto"/>
              </w:rPr>
              <w:t>Già tre persone sono inserite in un percorso di formazione o hanno trovato un lavoro dopo questo passaggio. Attualmente, una persona guida le passeggiate e altre due sono in formazione.</w:t>
            </w:r>
          </w:p>
        </w:tc>
      </w:tr>
      <w:tr w:rsidR="00336145" w:rsidRPr="00336145" w:rsidTr="006B3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Borders>
              <w:top w:val="dashSmallGap" w:sz="4" w:space="0" w:color="5B9BD5" w:themeColor="accent1"/>
              <w:left w:val="single" w:sz="12" w:space="0" w:color="5B9BD5" w:themeColor="accent1"/>
              <w:bottom w:val="single" w:sz="12"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b/>
                <w:color w:val="auto"/>
              </w:rPr>
              <w:t>Impatti attesi</w:t>
            </w:r>
            <w:r w:rsidRPr="00336145">
              <w:rPr>
                <w:rFonts w:asciiTheme="minorHAnsi" w:eastAsiaTheme="minorHAnsi" w:hAnsiTheme="minorHAnsi" w:cstheme="minorBidi"/>
                <w:color w:val="auto"/>
              </w:rPr>
              <w:t xml:space="preserve"> </w:t>
            </w:r>
          </w:p>
        </w:tc>
      </w:tr>
      <w:tr w:rsidR="00336145" w:rsidRPr="00336145" w:rsidTr="006B36CF">
        <w:tc>
          <w:tcPr>
            <w:cnfStyle w:val="001000000000" w:firstRow="0" w:lastRow="0" w:firstColumn="1" w:lastColumn="0" w:oddVBand="0" w:evenVBand="0" w:oddHBand="0" w:evenHBand="0" w:firstRowFirstColumn="0" w:firstRowLastColumn="0" w:lastRowFirstColumn="0" w:lastRowLastColumn="0"/>
            <w:tcW w:w="5000" w:type="pct"/>
            <w:tcBorders>
              <w:top w:val="dashSmallGap" w:sz="4" w:space="0" w:color="5B9BD5" w:themeColor="accent1"/>
              <w:left w:val="single" w:sz="12" w:space="0" w:color="5B9BD5" w:themeColor="accent1"/>
              <w:bottom w:val="dotted" w:sz="4" w:space="0" w:color="5B9BD5" w:themeColor="accent1"/>
              <w:right w:val="single" w:sz="12"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L'alternativa urbana consente di:</w:t>
            </w:r>
          </w:p>
          <w:p w:rsidR="00336145" w:rsidRPr="00336145" w:rsidRDefault="00336145" w:rsidP="00336145">
            <w:pPr>
              <w:numPr>
                <w:ilvl w:val="0"/>
                <w:numId w:val="10"/>
              </w:num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Proporre un nuovo supporto di inserimento professionale alle persone fuoriuscite dal mercato del lavoro. L'obiettivo non è quello di formare alla professione di guida, ma di essere una fase che, con l'aiuto di un supporto didattico, rimobilita le persone restituendo loro la fiducia in se stessi.</w:t>
            </w:r>
          </w:p>
          <w:p w:rsidR="00336145" w:rsidRPr="00336145" w:rsidRDefault="00336145" w:rsidP="00336145">
            <w:pPr>
              <w:numPr>
                <w:ilvl w:val="0"/>
                <w:numId w:val="10"/>
              </w:num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Cambiare la percezione della popolazione delle persone in grande precarietà</w:t>
            </w:r>
          </w:p>
          <w:p w:rsidR="00336145" w:rsidRPr="00336145" w:rsidRDefault="00336145" w:rsidP="00336145">
            <w:pPr>
              <w:numPr>
                <w:ilvl w:val="0"/>
                <w:numId w:val="10"/>
              </w:num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Scoprire luoghi sconosciuti che si differenziano dagli abituali percorsi turistici e, quindi, valutare questi quartieri come le persone che si stanno integrando.</w:t>
            </w:r>
          </w:p>
          <w:p w:rsidR="00336145" w:rsidRPr="00336145" w:rsidRDefault="00336145" w:rsidP="00336145">
            <w:pPr>
              <w:spacing w:after="160" w:line="259" w:lineRule="auto"/>
              <w:rPr>
                <w:rFonts w:asciiTheme="minorHAnsi" w:eastAsiaTheme="minorHAnsi" w:hAnsiTheme="minorHAnsi" w:cstheme="minorBidi"/>
                <w:color w:val="auto"/>
              </w:rPr>
            </w:pPr>
          </w:p>
          <w:p w:rsidR="00336145" w:rsidRPr="00336145" w:rsidRDefault="00336145" w:rsidP="00336145">
            <w:p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L'Alternativa Urbana intende sostenere almeno 7 persone nel 2015. Essa vuole stabilizzarsi a Parigi ed esportare altrove in Francia e possibilmente all'estero.</w:t>
            </w:r>
          </w:p>
        </w:tc>
      </w:tr>
      <w:tr w:rsidR="00336145" w:rsidRPr="00336145" w:rsidTr="006B36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Borders>
              <w:top w:val="dotted" w:sz="4" w:space="0" w:color="5B9BD5" w:themeColor="accent1"/>
              <w:left w:val="single" w:sz="18" w:space="0" w:color="5B9BD5" w:themeColor="accent1"/>
              <w:bottom w:val="single" w:sz="18" w:space="0" w:color="5B9BD5" w:themeColor="accent1"/>
              <w:right w:val="single" w:sz="18" w:space="0" w:color="5B9BD5" w:themeColor="accent1"/>
            </w:tcBorders>
            <w:noWrap/>
          </w:tcPr>
          <w:p w:rsidR="00336145" w:rsidRPr="00336145" w:rsidRDefault="00336145" w:rsidP="00336145">
            <w:pPr>
              <w:spacing w:after="160" w:line="259" w:lineRule="auto"/>
              <w:rPr>
                <w:rFonts w:asciiTheme="minorHAnsi" w:eastAsiaTheme="minorHAnsi" w:hAnsiTheme="minorHAnsi" w:cstheme="minorBidi"/>
                <w:b/>
                <w:color w:val="auto"/>
              </w:rPr>
            </w:pPr>
            <w:r w:rsidRPr="00336145">
              <w:rPr>
                <w:rFonts w:asciiTheme="minorHAnsi" w:eastAsiaTheme="minorHAnsi" w:hAnsiTheme="minorHAnsi" w:cstheme="minorBidi"/>
                <w:b/>
                <w:color w:val="auto"/>
              </w:rPr>
              <w:t>Gruppi target</w:t>
            </w:r>
          </w:p>
          <w:p w:rsidR="00336145" w:rsidRPr="00336145" w:rsidRDefault="00336145" w:rsidP="00336145">
            <w:pPr>
              <w:numPr>
                <w:ilvl w:val="0"/>
                <w:numId w:val="11"/>
              </w:num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Soggetti svantaggiati lontani dal mercato del lavoro</w:t>
            </w:r>
          </w:p>
          <w:p w:rsidR="00336145" w:rsidRPr="00336145" w:rsidRDefault="00336145" w:rsidP="00336145">
            <w:pPr>
              <w:numPr>
                <w:ilvl w:val="0"/>
                <w:numId w:val="11"/>
              </w:numPr>
              <w:spacing w:after="160" w:line="259" w:lineRule="auto"/>
              <w:rPr>
                <w:rFonts w:asciiTheme="minorHAnsi" w:eastAsiaTheme="minorHAnsi" w:hAnsiTheme="minorHAnsi" w:cstheme="minorBidi"/>
                <w:color w:val="auto"/>
              </w:rPr>
            </w:pPr>
            <w:r w:rsidRPr="00336145">
              <w:rPr>
                <w:rFonts w:asciiTheme="minorHAnsi" w:eastAsiaTheme="minorHAnsi" w:hAnsiTheme="minorHAnsi" w:cstheme="minorBidi"/>
                <w:color w:val="auto"/>
              </w:rPr>
              <w:t>Senza fissa dimora</w:t>
            </w:r>
            <w:r w:rsidRPr="00336145">
              <w:rPr>
                <w:rFonts w:asciiTheme="minorHAnsi" w:eastAsiaTheme="minorHAnsi" w:hAnsiTheme="minorHAnsi" w:cstheme="minorBidi"/>
                <w:b/>
                <w:color w:val="auto"/>
              </w:rPr>
              <w:t xml:space="preserve"> </w:t>
            </w:r>
          </w:p>
        </w:tc>
      </w:tr>
    </w:tbl>
    <w:p w:rsidR="00336145" w:rsidRPr="00336145" w:rsidRDefault="00336145" w:rsidP="00336145">
      <w:pPr>
        <w:rPr>
          <w:b/>
        </w:rPr>
      </w:pPr>
    </w:p>
    <w:p w:rsidR="00336145" w:rsidRPr="00336145" w:rsidRDefault="00336145" w:rsidP="00336145"/>
    <w:p w:rsidR="007046B3" w:rsidRDefault="005B2595"/>
    <w:sectPr w:rsidR="007046B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6145" w:rsidRDefault="00336145" w:rsidP="00336145">
      <w:pPr>
        <w:spacing w:after="0" w:line="240" w:lineRule="auto"/>
      </w:pPr>
      <w:r>
        <w:separator/>
      </w:r>
    </w:p>
  </w:endnote>
  <w:endnote w:type="continuationSeparator" w:id="0">
    <w:p w:rsidR="00336145" w:rsidRDefault="00336145" w:rsidP="00336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6145" w:rsidRDefault="00336145" w:rsidP="00336145">
      <w:pPr>
        <w:spacing w:after="0" w:line="240" w:lineRule="auto"/>
      </w:pPr>
      <w:r>
        <w:separator/>
      </w:r>
    </w:p>
  </w:footnote>
  <w:footnote w:type="continuationSeparator" w:id="0">
    <w:p w:rsidR="00336145" w:rsidRDefault="00336145" w:rsidP="0033614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8B3449"/>
    <w:multiLevelType w:val="hybridMultilevel"/>
    <w:tmpl w:val="4574CA3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 w15:restartNumberingAfterBreak="0">
    <w:nsid w:val="18B51DFA"/>
    <w:multiLevelType w:val="hybridMultilevel"/>
    <w:tmpl w:val="5A5008D4"/>
    <w:lvl w:ilvl="0" w:tplc="04100003">
      <w:start w:val="1"/>
      <w:numFmt w:val="bullet"/>
      <w:lvlText w:val="o"/>
      <w:lvlJc w:val="left"/>
      <w:pPr>
        <w:ind w:left="360" w:hanging="360"/>
      </w:pPr>
      <w:rPr>
        <w:rFonts w:ascii="Courier New" w:hAnsi="Courier New" w:cs="Courier New"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9D357C0"/>
    <w:multiLevelType w:val="hybridMultilevel"/>
    <w:tmpl w:val="2FA8986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D112D18"/>
    <w:multiLevelType w:val="hybridMultilevel"/>
    <w:tmpl w:val="5488422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3F20E25"/>
    <w:multiLevelType w:val="hybridMultilevel"/>
    <w:tmpl w:val="9792624A"/>
    <w:lvl w:ilvl="0" w:tplc="7F9038BC">
      <w:numFmt w:val="bullet"/>
      <w:lvlText w:val="-"/>
      <w:lvlJc w:val="left"/>
      <w:pPr>
        <w:ind w:left="360" w:hanging="360"/>
      </w:pPr>
      <w:rPr>
        <w:rFonts w:ascii="Calibri" w:eastAsiaTheme="minorHAnsi" w:hAnsi="Calibri" w:cstheme="minorBid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36922D9A"/>
    <w:multiLevelType w:val="hybridMultilevel"/>
    <w:tmpl w:val="6ADE3DB8"/>
    <w:lvl w:ilvl="0" w:tplc="7F9038BC">
      <w:numFmt w:val="bullet"/>
      <w:lvlText w:val="-"/>
      <w:lvlJc w:val="left"/>
      <w:pPr>
        <w:ind w:left="360" w:hanging="360"/>
      </w:pPr>
      <w:rPr>
        <w:rFonts w:ascii="Calibri" w:eastAsiaTheme="minorHAnsi" w:hAnsi="Calibri" w:cstheme="minorBid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374A42A6"/>
    <w:multiLevelType w:val="hybridMultilevel"/>
    <w:tmpl w:val="2C3EB2C2"/>
    <w:lvl w:ilvl="0" w:tplc="7F9038BC">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867783C"/>
    <w:multiLevelType w:val="hybridMultilevel"/>
    <w:tmpl w:val="BBF40918"/>
    <w:lvl w:ilvl="0" w:tplc="7F9038BC">
      <w:numFmt w:val="bullet"/>
      <w:lvlText w:val="-"/>
      <w:lvlJc w:val="left"/>
      <w:pPr>
        <w:ind w:left="360" w:hanging="360"/>
      </w:pPr>
      <w:rPr>
        <w:rFonts w:ascii="Calibri" w:eastAsiaTheme="minorHAnsi" w:hAnsi="Calibri" w:cstheme="minorBid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3BB72619"/>
    <w:multiLevelType w:val="hybridMultilevel"/>
    <w:tmpl w:val="928EE1F2"/>
    <w:lvl w:ilvl="0" w:tplc="04100003">
      <w:start w:val="1"/>
      <w:numFmt w:val="bullet"/>
      <w:lvlText w:val="o"/>
      <w:lvlJc w:val="left"/>
      <w:pPr>
        <w:ind w:left="360" w:hanging="360"/>
      </w:pPr>
      <w:rPr>
        <w:rFonts w:ascii="Courier New" w:hAnsi="Courier New" w:cs="Courier New"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44A532D4"/>
    <w:multiLevelType w:val="hybridMultilevel"/>
    <w:tmpl w:val="3B685364"/>
    <w:lvl w:ilvl="0" w:tplc="7F9038BC">
      <w:numFmt w:val="bullet"/>
      <w:lvlText w:val="-"/>
      <w:lvlJc w:val="left"/>
      <w:pPr>
        <w:ind w:left="360" w:hanging="360"/>
      </w:pPr>
      <w:rPr>
        <w:rFonts w:ascii="Calibri" w:eastAsiaTheme="minorHAnsi" w:hAnsi="Calibri" w:cstheme="minorBid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0" w15:restartNumberingAfterBreak="0">
    <w:nsid w:val="453D6A18"/>
    <w:multiLevelType w:val="hybridMultilevel"/>
    <w:tmpl w:val="D124F23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50D42705"/>
    <w:multiLevelType w:val="hybridMultilevel"/>
    <w:tmpl w:val="6298BC46"/>
    <w:lvl w:ilvl="0" w:tplc="04100003">
      <w:start w:val="1"/>
      <w:numFmt w:val="bullet"/>
      <w:lvlText w:val="o"/>
      <w:lvlJc w:val="left"/>
      <w:pPr>
        <w:ind w:left="360" w:hanging="360"/>
      </w:pPr>
      <w:rPr>
        <w:rFonts w:ascii="Courier New" w:hAnsi="Courier New" w:cs="Courier New"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51FE42E7"/>
    <w:multiLevelType w:val="hybridMultilevel"/>
    <w:tmpl w:val="D026C496"/>
    <w:lvl w:ilvl="0" w:tplc="7F9038BC">
      <w:numFmt w:val="bullet"/>
      <w:lvlText w:val="-"/>
      <w:lvlJc w:val="left"/>
      <w:pPr>
        <w:ind w:left="360" w:hanging="360"/>
      </w:pPr>
      <w:rPr>
        <w:rFonts w:ascii="Calibri" w:eastAsiaTheme="minorHAnsi" w:hAnsi="Calibri" w:cstheme="minorBid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7679528C"/>
    <w:multiLevelType w:val="hybridMultilevel"/>
    <w:tmpl w:val="1366988C"/>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0"/>
  </w:num>
  <w:num w:numId="2">
    <w:abstractNumId w:val="4"/>
  </w:num>
  <w:num w:numId="3">
    <w:abstractNumId w:val="3"/>
  </w:num>
  <w:num w:numId="4">
    <w:abstractNumId w:val="0"/>
  </w:num>
  <w:num w:numId="5">
    <w:abstractNumId w:val="11"/>
  </w:num>
  <w:num w:numId="6">
    <w:abstractNumId w:val="1"/>
  </w:num>
  <w:num w:numId="7">
    <w:abstractNumId w:val="8"/>
  </w:num>
  <w:num w:numId="8">
    <w:abstractNumId w:val="5"/>
  </w:num>
  <w:num w:numId="9">
    <w:abstractNumId w:val="9"/>
  </w:num>
  <w:num w:numId="10">
    <w:abstractNumId w:val="12"/>
  </w:num>
  <w:num w:numId="11">
    <w:abstractNumId w:val="7"/>
  </w:num>
  <w:num w:numId="12">
    <w:abstractNumId w:val="6"/>
  </w:num>
  <w:num w:numId="13">
    <w:abstractNumId w:val="1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145"/>
    <w:rsid w:val="001C05AB"/>
    <w:rsid w:val="00336145"/>
    <w:rsid w:val="005B2595"/>
    <w:rsid w:val="00F40191"/>
    <w:rsid w:val="00FC189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F07B9B-F697-480E-9241-121015C50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next w:val="Normale"/>
    <w:link w:val="Titolo1Carattere"/>
    <w:uiPriority w:val="9"/>
    <w:qFormat/>
    <w:rsid w:val="0033614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Elencomedio2-Colore1">
    <w:name w:val="Medium List 2 Accent 1"/>
    <w:basedOn w:val="Tabellanormale"/>
    <w:uiPriority w:val="66"/>
    <w:unhideWhenUsed/>
    <w:rsid w:val="0033614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Titolo1Carattere">
    <w:name w:val="Titolo 1 Carattere"/>
    <w:basedOn w:val="Carpredefinitoparagrafo"/>
    <w:link w:val="Titolo1"/>
    <w:uiPriority w:val="9"/>
    <w:rsid w:val="00336145"/>
    <w:rPr>
      <w:rFonts w:asciiTheme="majorHAnsi" w:eastAsiaTheme="majorEastAsia" w:hAnsiTheme="majorHAnsi" w:cstheme="majorBidi"/>
      <w:color w:val="2E74B5" w:themeColor="accent1" w:themeShade="BF"/>
      <w:sz w:val="32"/>
      <w:szCs w:val="32"/>
    </w:rPr>
  </w:style>
  <w:style w:type="paragraph" w:styleId="Citazioneintensa">
    <w:name w:val="Intense Quote"/>
    <w:basedOn w:val="Normale"/>
    <w:next w:val="Normale"/>
    <w:link w:val="CitazioneintensaCarattere"/>
    <w:uiPriority w:val="30"/>
    <w:qFormat/>
    <w:rsid w:val="0033614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CitazioneintensaCarattere">
    <w:name w:val="Citazione intensa Carattere"/>
    <w:basedOn w:val="Carpredefinitoparagrafo"/>
    <w:link w:val="Citazioneintensa"/>
    <w:uiPriority w:val="30"/>
    <w:rsid w:val="00336145"/>
    <w:rPr>
      <w:i/>
      <w:iCs/>
      <w:color w:val="5B9BD5" w:themeColor="accent1"/>
    </w:rPr>
  </w:style>
  <w:style w:type="paragraph" w:styleId="Intestazione">
    <w:name w:val="header"/>
    <w:basedOn w:val="Normale"/>
    <w:link w:val="IntestazioneCarattere"/>
    <w:uiPriority w:val="99"/>
    <w:unhideWhenUsed/>
    <w:rsid w:val="00336145"/>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336145"/>
  </w:style>
  <w:style w:type="paragraph" w:styleId="Pidipagina">
    <w:name w:val="footer"/>
    <w:basedOn w:val="Normale"/>
    <w:link w:val="PidipaginaCarattere"/>
    <w:uiPriority w:val="99"/>
    <w:unhideWhenUsed/>
    <w:rsid w:val="00336145"/>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336145"/>
  </w:style>
  <w:style w:type="paragraph" w:styleId="Paragrafoelenco">
    <w:name w:val="List Paragraph"/>
    <w:basedOn w:val="Normale"/>
    <w:uiPriority w:val="34"/>
    <w:qFormat/>
    <w:rsid w:val="00336145"/>
    <w:pPr>
      <w:ind w:left="720"/>
      <w:contextualSpacing/>
    </w:pPr>
  </w:style>
  <w:style w:type="paragraph" w:styleId="Testonotaapidipagina">
    <w:name w:val="footnote text"/>
    <w:basedOn w:val="Normale"/>
    <w:link w:val="TestonotaapidipaginaCarattere"/>
    <w:uiPriority w:val="99"/>
    <w:unhideWhenUsed/>
    <w:rsid w:val="00336145"/>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rsid w:val="00336145"/>
    <w:rPr>
      <w:sz w:val="20"/>
      <w:szCs w:val="20"/>
    </w:rPr>
  </w:style>
  <w:style w:type="character" w:styleId="Rimandonotaapidipagina">
    <w:name w:val="footnote reference"/>
    <w:basedOn w:val="Carpredefinitoparagrafo"/>
    <w:uiPriority w:val="99"/>
    <w:semiHidden/>
    <w:unhideWhenUsed/>
    <w:rsid w:val="00336145"/>
    <w:rPr>
      <w:vertAlign w:val="superscript"/>
    </w:rPr>
  </w:style>
  <w:style w:type="character" w:styleId="Collegamentoipertestuale">
    <w:name w:val="Hyperlink"/>
    <w:basedOn w:val="Carpredefinitoparagrafo"/>
    <w:uiPriority w:val="99"/>
    <w:unhideWhenUsed/>
    <w:rsid w:val="00336145"/>
    <w:rPr>
      <w:color w:val="0563C1" w:themeColor="hyperlink"/>
      <w:u w:val="single"/>
    </w:rPr>
  </w:style>
  <w:style w:type="paragraph" w:styleId="Testonormale">
    <w:name w:val="Plain Text"/>
    <w:basedOn w:val="Normale"/>
    <w:link w:val="TestonormaleCarattere"/>
    <w:uiPriority w:val="99"/>
    <w:unhideWhenUsed/>
    <w:rsid w:val="00336145"/>
    <w:pPr>
      <w:spacing w:after="0" w:line="240" w:lineRule="auto"/>
    </w:pPr>
    <w:rPr>
      <w:rFonts w:ascii="Calibri" w:hAnsi="Calibri"/>
      <w:szCs w:val="21"/>
    </w:rPr>
  </w:style>
  <w:style w:type="character" w:customStyle="1" w:styleId="TestonormaleCarattere">
    <w:name w:val="Testo normale Carattere"/>
    <w:basedOn w:val="Carpredefinitoparagrafo"/>
    <w:link w:val="Testonormale"/>
    <w:uiPriority w:val="99"/>
    <w:rsid w:val="00336145"/>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15</Pages>
  <Words>4963</Words>
  <Characters>28295</Characters>
  <Application>Microsoft Office Word</Application>
  <DocSecurity>0</DocSecurity>
  <Lines>235</Lines>
  <Paragraphs>66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33192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Roberta Giangiorgi</dc:creator>
  <cp:keywords/>
  <dc:description/>
  <cp:lastModifiedBy>Roberta Giangiorgi</cp:lastModifiedBy>
  <cp:revision>3</cp:revision>
  <dcterms:created xsi:type="dcterms:W3CDTF">2018-03-06T16:17:00Z</dcterms:created>
  <dcterms:modified xsi:type="dcterms:W3CDTF">2018-03-13T11:41:00Z</dcterms:modified>
</cp:coreProperties>
</file>